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4E25" w:rsidRDefault="002A3C07">
      <w:pPr>
        <w:keepNext/>
        <w:keepLines/>
        <w:spacing w:after="99" w:line="259" w:lineRule="auto"/>
        <w:jc w:val="center"/>
      </w:pPr>
      <w:bookmarkStart w:id="0" w:name="id.gjdgxs" w:colFirst="0" w:colLast="0"/>
      <w:bookmarkEnd w:id="0"/>
      <w:r>
        <w:rPr>
          <w:b/>
          <w:i/>
          <w:sz w:val="24"/>
          <w:szCs w:val="24"/>
        </w:rPr>
        <w:t>COWORKING</w:t>
      </w:r>
      <w:r>
        <w:rPr>
          <w:b/>
          <w:sz w:val="24"/>
          <w:szCs w:val="24"/>
        </w:rPr>
        <w:t>: O DESENVOLVIMENTO HUMANIZADO NA PRIMEIRA INFÂNCIA E O TRABALHO CONTEMPORÂNEO</w:t>
      </w:r>
      <w:r>
        <w:rPr>
          <w:b/>
          <w:sz w:val="24"/>
          <w:szCs w:val="24"/>
          <w:vertAlign w:val="superscript"/>
        </w:rPr>
        <w:footnoteReference w:id="1"/>
      </w:r>
    </w:p>
    <w:p w:rsidR="00174E25" w:rsidRDefault="00174E25">
      <w:pPr>
        <w:spacing w:after="0" w:line="276" w:lineRule="auto"/>
        <w:ind w:right="-9"/>
        <w:jc w:val="right"/>
      </w:pPr>
    </w:p>
    <w:p w:rsidR="00174E25" w:rsidRDefault="002A3C07">
      <w:pPr>
        <w:spacing w:after="0" w:line="276" w:lineRule="auto"/>
        <w:ind w:right="-9"/>
        <w:jc w:val="right"/>
      </w:pPr>
      <w:r>
        <w:rPr>
          <w:sz w:val="24"/>
          <w:szCs w:val="24"/>
        </w:rPr>
        <w:t>Fabiana do Rocio Senna dos Santos</w:t>
      </w:r>
      <w:r>
        <w:rPr>
          <w:sz w:val="24"/>
          <w:szCs w:val="24"/>
          <w:vertAlign w:val="superscript"/>
        </w:rPr>
        <w:footnoteReference w:id="2"/>
      </w:r>
    </w:p>
    <w:p w:rsidR="00174E25" w:rsidRDefault="002A3C07">
      <w:pPr>
        <w:spacing w:after="0" w:line="276" w:lineRule="auto"/>
        <w:ind w:right="-9"/>
        <w:jc w:val="right"/>
      </w:pPr>
      <w:r>
        <w:rPr>
          <w:sz w:val="24"/>
          <w:szCs w:val="24"/>
        </w:rPr>
        <w:t>Gabriela Fernanda Rocha Corrêa</w:t>
      </w:r>
      <w:r>
        <w:rPr>
          <w:sz w:val="24"/>
          <w:szCs w:val="24"/>
          <w:vertAlign w:val="superscript"/>
        </w:rPr>
        <w:footnoteReference w:id="3"/>
      </w:r>
    </w:p>
    <w:p w:rsidR="00174E25" w:rsidRDefault="002A3C07">
      <w:pPr>
        <w:spacing w:after="0" w:line="276" w:lineRule="auto"/>
        <w:ind w:right="-9"/>
        <w:jc w:val="right"/>
      </w:pPr>
      <w:r>
        <w:rPr>
          <w:sz w:val="24"/>
          <w:szCs w:val="24"/>
        </w:rPr>
        <w:t>Georgia Carolina da Conceição</w:t>
      </w:r>
      <w:r>
        <w:rPr>
          <w:sz w:val="24"/>
          <w:szCs w:val="24"/>
          <w:vertAlign w:val="superscript"/>
        </w:rPr>
        <w:footnoteReference w:id="4"/>
      </w:r>
    </w:p>
    <w:p w:rsidR="00174E25" w:rsidRDefault="002A3C07">
      <w:pPr>
        <w:spacing w:after="0" w:line="276" w:lineRule="auto"/>
        <w:ind w:right="-9"/>
        <w:jc w:val="right"/>
      </w:pPr>
      <w:r>
        <w:rPr>
          <w:sz w:val="24"/>
          <w:szCs w:val="24"/>
        </w:rPr>
        <w:t>Gilberto Rigotti</w:t>
      </w:r>
      <w:r>
        <w:rPr>
          <w:sz w:val="24"/>
          <w:szCs w:val="24"/>
          <w:vertAlign w:val="superscript"/>
        </w:rPr>
        <w:footnoteReference w:id="5"/>
      </w:r>
    </w:p>
    <w:p w:rsidR="00174E25" w:rsidRDefault="002A3C07">
      <w:pPr>
        <w:spacing w:after="0" w:line="276" w:lineRule="auto"/>
        <w:ind w:right="-9"/>
        <w:jc w:val="right"/>
      </w:pPr>
      <w:r>
        <w:rPr>
          <w:sz w:val="24"/>
          <w:szCs w:val="24"/>
        </w:rPr>
        <w:t>Sérgio Moreira da Anunciação</w:t>
      </w:r>
      <w:r>
        <w:rPr>
          <w:sz w:val="24"/>
          <w:szCs w:val="24"/>
          <w:vertAlign w:val="superscript"/>
        </w:rPr>
        <w:footnoteReference w:id="6"/>
      </w:r>
    </w:p>
    <w:p w:rsidR="00174E25" w:rsidRDefault="002A3C07">
      <w:pPr>
        <w:spacing w:after="0" w:line="276" w:lineRule="auto"/>
        <w:ind w:right="-9"/>
        <w:jc w:val="right"/>
      </w:pPr>
      <w:r>
        <w:rPr>
          <w:sz w:val="24"/>
          <w:szCs w:val="24"/>
        </w:rPr>
        <w:t>Rita de Cassia Falleiro Salgado</w:t>
      </w:r>
      <w:r>
        <w:rPr>
          <w:sz w:val="24"/>
          <w:szCs w:val="24"/>
          <w:vertAlign w:val="superscript"/>
        </w:rPr>
        <w:footnoteReference w:id="7"/>
      </w:r>
    </w:p>
    <w:p w:rsidR="00174E25" w:rsidRDefault="00174E25">
      <w:pPr>
        <w:spacing w:after="0" w:line="240" w:lineRule="auto"/>
        <w:ind w:left="0" w:right="0" w:firstLine="0"/>
        <w:jc w:val="left"/>
      </w:pPr>
    </w:p>
    <w:p w:rsidR="00174E25" w:rsidRDefault="002A3C07">
      <w:pPr>
        <w:tabs>
          <w:tab w:val="left" w:pos="4536"/>
        </w:tabs>
        <w:spacing w:after="73" w:line="240" w:lineRule="auto"/>
        <w:ind w:left="-5" w:right="0" w:firstLine="0"/>
      </w:pPr>
      <w:r>
        <w:rPr>
          <w:b/>
          <w:sz w:val="24"/>
          <w:szCs w:val="24"/>
        </w:rPr>
        <w:t>Palavras-chave</w:t>
      </w:r>
      <w:r>
        <w:rPr>
          <w:sz w:val="24"/>
          <w:szCs w:val="24"/>
        </w:rPr>
        <w:t xml:space="preserve">: Infância. Psicologia. </w:t>
      </w:r>
      <w:r>
        <w:rPr>
          <w:i/>
          <w:sz w:val="24"/>
          <w:szCs w:val="24"/>
        </w:rPr>
        <w:t>Coworking</w:t>
      </w:r>
      <w:r>
        <w:rPr>
          <w:sz w:val="24"/>
          <w:szCs w:val="24"/>
        </w:rPr>
        <w:t xml:space="preserve">. ECA. Afeto. </w:t>
      </w:r>
    </w:p>
    <w:p w:rsidR="00174E25" w:rsidRDefault="00174E25">
      <w:pPr>
        <w:spacing w:line="240" w:lineRule="auto"/>
        <w:ind w:left="0" w:right="0" w:firstLine="720"/>
      </w:pPr>
    </w:p>
    <w:p w:rsidR="00174E25" w:rsidRDefault="002A3C07">
      <w:pPr>
        <w:spacing w:after="5" w:line="240" w:lineRule="auto"/>
        <w:ind w:left="-6" w:right="0" w:firstLine="0"/>
      </w:pPr>
      <w:bookmarkStart w:id="1" w:name="h.30j0zll" w:colFirst="0" w:colLast="0"/>
      <w:bookmarkEnd w:id="1"/>
      <w:r>
        <w:rPr>
          <w:b/>
          <w:sz w:val="24"/>
          <w:szCs w:val="24"/>
        </w:rPr>
        <w:t xml:space="preserve">Tema e objetivo: </w:t>
      </w:r>
      <w:r>
        <w:rPr>
          <w:sz w:val="24"/>
          <w:szCs w:val="24"/>
        </w:rPr>
        <w:t>A infância é uma fase em que os pais aspiram proximidade aos filhos, acompanhando cada passo de seu desenvolvimento. Entretanto, muitos se ang</w:t>
      </w:r>
      <w:r>
        <w:rPr>
          <w:sz w:val="24"/>
          <w:szCs w:val="24"/>
        </w:rPr>
        <w:t>ustiam com a tomada de decisão entre retornar à sua atividade profissional ou dedicar-se em tempo integral a este momento e esta escolha terá suas consequências para as vidas envolvidas. Dentre os teóricos que abordam a fase da infância, Bowlby (1989) prop</w:t>
      </w:r>
      <w:r>
        <w:rPr>
          <w:sz w:val="24"/>
          <w:szCs w:val="24"/>
        </w:rPr>
        <w:t>õe um conjunto de comportamentos instintivos do bebê, a defesa de que luto e o desgosto aparecem sempre que comportamentos associados são abordados e o elemento de vinculação não está disponível. Winnicott (1953), por sua vez, propõe o período da transicio</w:t>
      </w:r>
      <w:r>
        <w:rPr>
          <w:sz w:val="24"/>
          <w:szCs w:val="24"/>
        </w:rPr>
        <w:t>nalidade, quando a mãe é substituída por um objeto transicional. Apresenta também a “Preocupação Materna Primária”, que diz respeito ao estado psíquico da mãe suficientemente boa que se põe à disposição para oferecer um ambiente suficientemente bom para se</w:t>
      </w:r>
      <w:r>
        <w:rPr>
          <w:sz w:val="24"/>
          <w:szCs w:val="24"/>
        </w:rPr>
        <w:t xml:space="preserve">u bebê. Este papel é caracterizado pelo </w:t>
      </w:r>
      <w:r>
        <w:rPr>
          <w:i/>
          <w:sz w:val="24"/>
          <w:szCs w:val="24"/>
        </w:rPr>
        <w:t>holding</w:t>
      </w:r>
      <w:r>
        <w:rPr>
          <w:sz w:val="24"/>
          <w:szCs w:val="24"/>
        </w:rPr>
        <w:t xml:space="preserve"> materno, ajudando na construção da personalidade do filho, essencial às relações desse com o meio e com pessoas no futuro. A disponibilidade de um ambiente suficientemente bom entra como requisito a formação </w:t>
      </w:r>
      <w:r>
        <w:rPr>
          <w:sz w:val="24"/>
          <w:szCs w:val="24"/>
        </w:rPr>
        <w:t>e construção da personalidade da criança e suas escolhas futuras.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Consonante com este modelo, o Estatuto da Criança e Adolescente (ECA), criado em 1990 e revisto em março</w:t>
      </w:r>
      <w:r>
        <w:rPr>
          <w:sz w:val="24"/>
          <w:szCs w:val="24"/>
          <w:highlight w:val="white"/>
        </w:rPr>
        <w:t xml:space="preserve"> de 2016, dispõe sobre o direito de educação e cuidados, que é direito do indivíduo se</w:t>
      </w:r>
      <w:r>
        <w:rPr>
          <w:sz w:val="24"/>
          <w:szCs w:val="24"/>
          <w:highlight w:val="white"/>
        </w:rPr>
        <w:t xml:space="preserve">r criado e educado dentro do seu seio familiar </w:t>
      </w:r>
      <w:r>
        <w:rPr>
          <w:sz w:val="24"/>
          <w:szCs w:val="24"/>
          <w:highlight w:val="white"/>
        </w:rPr>
        <w:lastRenderedPageBreak/>
        <w:t xml:space="preserve">ou em outro ambiente que garanta seu desenvolvimento de forma integral, sendo prioritário o atendimento de necessidades básicas da criança, incluindo o afeto. </w:t>
      </w:r>
      <w:r>
        <w:rPr>
          <w:sz w:val="24"/>
          <w:szCs w:val="24"/>
        </w:rPr>
        <w:t>Com o objetivo de observar e investigar uma das pr</w:t>
      </w:r>
      <w:r>
        <w:rPr>
          <w:sz w:val="24"/>
          <w:szCs w:val="24"/>
        </w:rPr>
        <w:t xml:space="preserve">áticas contemporâneas à luz das teorias citadas, bem como facilitar uma ação solidária, observa-se o espaço de </w:t>
      </w:r>
      <w:r>
        <w:rPr>
          <w:i/>
          <w:sz w:val="24"/>
          <w:szCs w:val="24"/>
        </w:rPr>
        <w:t>coworking,</w:t>
      </w:r>
      <w:r>
        <w:rPr>
          <w:sz w:val="24"/>
          <w:szCs w:val="24"/>
        </w:rPr>
        <w:t xml:space="preserve"> que é definido pela </w:t>
      </w:r>
      <w:r>
        <w:rPr>
          <w:i/>
          <w:sz w:val="24"/>
          <w:szCs w:val="24"/>
        </w:rPr>
        <w:t>Harvard Business Review</w:t>
      </w:r>
      <w:r>
        <w:rPr>
          <w:sz w:val="24"/>
          <w:szCs w:val="24"/>
        </w:rPr>
        <w:t xml:space="preserve"> (2015) como um escritório que possibilita aos pais realizarem suas atividades sociais, man</w:t>
      </w:r>
      <w:r>
        <w:rPr>
          <w:sz w:val="24"/>
          <w:szCs w:val="24"/>
        </w:rPr>
        <w:t xml:space="preserve">tendo a relação de desenvolvimento afetivo na infância. </w:t>
      </w:r>
      <w:r>
        <w:rPr>
          <w:b/>
          <w:sz w:val="24"/>
          <w:szCs w:val="24"/>
        </w:rPr>
        <w:t xml:space="preserve">Revisão da bibliografia: </w:t>
      </w:r>
      <w:r>
        <w:rPr>
          <w:sz w:val="24"/>
          <w:szCs w:val="24"/>
        </w:rPr>
        <w:t>A produção fundamenta-se nas propostas de Bowlby (1958, 1959 e 1960), sobre um conjunto de comportamentos instintivos do bebê, a defesa de que luto e o desgosto aparecem sempr</w:t>
      </w:r>
      <w:r>
        <w:rPr>
          <w:sz w:val="24"/>
          <w:szCs w:val="24"/>
        </w:rPr>
        <w:t>e que comportamentos associados são abordados e o elemento de vinculação não está disponível.</w:t>
      </w:r>
      <w:r>
        <w:t xml:space="preserve"> </w:t>
      </w:r>
      <w:r>
        <w:rPr>
          <w:sz w:val="24"/>
          <w:szCs w:val="24"/>
        </w:rPr>
        <w:t>Winnicott (1971) considera o período da transicionalidade, no qual a mãe é substituída por um objeto transicional. O mesmo autor (1998) apresenta a “Preocupação M</w:t>
      </w:r>
      <w:r>
        <w:rPr>
          <w:sz w:val="24"/>
          <w:szCs w:val="24"/>
        </w:rPr>
        <w:t xml:space="preserve">aterna Primária”, que diz respeito ao estado psíquico da mãe suficientemente boa que oferece um ambiente suficientemente bom para seu bebê. Marques (2008), refere-se ao </w:t>
      </w:r>
      <w:r>
        <w:rPr>
          <w:i/>
          <w:sz w:val="24"/>
          <w:szCs w:val="24"/>
        </w:rPr>
        <w:t>holding</w:t>
      </w:r>
      <w:r>
        <w:rPr>
          <w:sz w:val="24"/>
          <w:szCs w:val="24"/>
        </w:rPr>
        <w:t xml:space="preserve"> materno como uma característica da mãe suficientemente boa, que ajuda na constr</w:t>
      </w:r>
      <w:r>
        <w:rPr>
          <w:sz w:val="24"/>
          <w:szCs w:val="24"/>
        </w:rPr>
        <w:t xml:space="preserve">ução da personalidade do filho e essencial nas relações que o sujeito exercerá com o meio e com outras pessoas. Silva (2011) discorre que um ambiente suficientemente bom entra como requisito à formação de personalidade. Atié (1999) ressalta que o ambiente </w:t>
      </w:r>
      <w:r>
        <w:rPr>
          <w:sz w:val="24"/>
          <w:szCs w:val="24"/>
        </w:rPr>
        <w:t>suficientemente bom deve apresentar qualidades físicas que proporcionem à criança a oportunidade de criar e buscar experiências emocionais, considerado o espaço transicional, indispensável para a construção da personalidade da criança e suas escolhas futur</w:t>
      </w:r>
      <w:r>
        <w:rPr>
          <w:sz w:val="24"/>
          <w:szCs w:val="24"/>
        </w:rPr>
        <w:t>as. Isso engloba um conjunto de qualidades e figuras atuantes, especialmente a materna que se associa ao</w:t>
      </w:r>
      <w:r>
        <w:rPr>
          <w:sz w:val="24"/>
          <w:szCs w:val="24"/>
          <w:highlight w:val="white"/>
        </w:rPr>
        <w:t xml:space="preserve"> conteúdo pertinente do ECA (2016). </w:t>
      </w:r>
      <w:r>
        <w:rPr>
          <w:b/>
          <w:sz w:val="24"/>
          <w:szCs w:val="24"/>
        </w:rPr>
        <w:t xml:space="preserve">Metodologia: </w:t>
      </w:r>
      <w:r>
        <w:rPr>
          <w:sz w:val="24"/>
          <w:szCs w:val="24"/>
        </w:rPr>
        <w:t>Este trabalho acadêmico foi norteado pelas teorias propostas por Bowlby (1989), Winnicott (1953) e pela</w:t>
      </w:r>
      <w:r>
        <w:rPr>
          <w:sz w:val="24"/>
          <w:szCs w:val="24"/>
        </w:rPr>
        <w:t xml:space="preserve"> legislação apresentada no ECA (2016). Buscou-se na comunidade local instituições prestadoras de serviços de </w:t>
      </w:r>
      <w:r>
        <w:rPr>
          <w:i/>
          <w:sz w:val="24"/>
          <w:szCs w:val="24"/>
        </w:rPr>
        <w:t>coworking,</w:t>
      </w:r>
      <w:r>
        <w:rPr>
          <w:sz w:val="24"/>
          <w:szCs w:val="24"/>
        </w:rPr>
        <w:t xml:space="preserve"> que incluíssem a facilitação do convívio entre pais, mães e seus filhos, em um ambiente integrado de trabalho com serviços de cuidado às</w:t>
      </w:r>
      <w:r>
        <w:rPr>
          <w:sz w:val="24"/>
          <w:szCs w:val="24"/>
        </w:rPr>
        <w:t xml:space="preserve"> crianças de 0 a 6 anos. Incluiu-se ao critério de afinidade a possibilidade de participação observacional, intervencionai lúdica assistida e assertiva ao tema proposto. Realizaram-se 8 visitas perfazendo-se 14 horas de atividade, com a presença mínima de </w:t>
      </w:r>
      <w:r>
        <w:rPr>
          <w:sz w:val="24"/>
          <w:szCs w:val="24"/>
        </w:rPr>
        <w:t>2 estudantes em cada uma. As comunicações e atividades propostas foram realizadas por intermédio da pedagoga da instituição, sendo que os autores proveram os recursos para a integração dos envolvidos, uma atividade lúdica para as crianças e a organização d</w:t>
      </w:r>
      <w:r>
        <w:rPr>
          <w:sz w:val="24"/>
          <w:szCs w:val="24"/>
        </w:rPr>
        <w:t xml:space="preserve">e uma atividade solidária. </w:t>
      </w:r>
      <w:r>
        <w:rPr>
          <w:b/>
          <w:sz w:val="24"/>
          <w:szCs w:val="24"/>
        </w:rPr>
        <w:t xml:space="preserve">Resultados: </w:t>
      </w:r>
      <w:r>
        <w:rPr>
          <w:sz w:val="24"/>
          <w:szCs w:val="24"/>
        </w:rPr>
        <w:t>Foram observados os pais sob foco dos autores já referidos, os primeiros trabalhando e atendendo as necessidades dos seus filhos, em um ambiente que dispunha de recursos adequados ao cumprimento do ECA. Proporcionou-s</w:t>
      </w:r>
      <w:r>
        <w:rPr>
          <w:sz w:val="24"/>
          <w:szCs w:val="24"/>
        </w:rPr>
        <w:t>e uma atividade lúdica objetal para a observação do comportamento das crianças, que subsidiou a discussão. Atendeu-se à demanda de uma atividade solidária coletando-se doações para crianças carentes, tendo como instituição beneficiada a Casa de Apoio do Ho</w:t>
      </w:r>
      <w:r>
        <w:rPr>
          <w:sz w:val="24"/>
          <w:szCs w:val="24"/>
        </w:rPr>
        <w:t xml:space="preserve">spital Pequeno Príncipe. </w:t>
      </w:r>
      <w:r>
        <w:rPr>
          <w:b/>
          <w:sz w:val="24"/>
          <w:szCs w:val="24"/>
        </w:rPr>
        <w:t xml:space="preserve">Conclusão: </w:t>
      </w:r>
      <w:r>
        <w:rPr>
          <w:sz w:val="24"/>
          <w:szCs w:val="24"/>
        </w:rPr>
        <w:t>As teorias de Bowlby, de Winnicott e o ECA demonstram a importância exercida pela presença da figura materna/paterna no desenvolvimento psíquico da criança nos primeiros anos de vida. As relações de apego estabelecidas n</w:t>
      </w:r>
      <w:r>
        <w:rPr>
          <w:sz w:val="24"/>
          <w:szCs w:val="24"/>
        </w:rPr>
        <w:t>a infância afetam o estilo do apego do indivíduo ao longo da sua vida, confirmando o estabelecimento da criança como pessoa. O contato com a atividade solidária mostrou-se gratificante aos acadêmicos, facilitando a solidariedade entre 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instituição privada</w:t>
      </w:r>
      <w:r>
        <w:rPr>
          <w:sz w:val="24"/>
          <w:szCs w:val="24"/>
        </w:rPr>
        <w:t xml:space="preserve"> e a comunidade.</w:t>
      </w:r>
    </w:p>
    <w:p w:rsidR="00174E25" w:rsidRDefault="00174E25">
      <w:pPr>
        <w:spacing w:after="108" w:line="259" w:lineRule="auto"/>
        <w:ind w:left="0" w:right="0" w:firstLine="0"/>
        <w:jc w:val="left"/>
      </w:pPr>
    </w:p>
    <w:p w:rsidR="00174E25" w:rsidRDefault="002A3C07">
      <w:pPr>
        <w:keepNext/>
        <w:spacing w:after="108" w:line="259" w:lineRule="auto"/>
        <w:ind w:left="0" w:right="0" w:firstLine="0"/>
        <w:jc w:val="left"/>
      </w:pPr>
      <w:r>
        <w:rPr>
          <w:b/>
        </w:rPr>
        <w:t>REFERÊNCIAS</w:t>
      </w:r>
    </w:p>
    <w:p w:rsidR="00174E25" w:rsidRDefault="00174E25">
      <w:pPr>
        <w:keepNext/>
        <w:spacing w:line="240" w:lineRule="auto"/>
      </w:pPr>
      <w:bookmarkStart w:id="2" w:name="id.3znysh7" w:colFirst="0" w:colLast="0"/>
      <w:bookmarkEnd w:id="2"/>
    </w:p>
    <w:p w:rsidR="00174E25" w:rsidRPr="00CB48B0" w:rsidRDefault="002A3C07">
      <w:pPr>
        <w:keepNext/>
        <w:spacing w:line="240" w:lineRule="auto"/>
        <w:rPr>
          <w:lang w:val="en-US"/>
        </w:rPr>
      </w:pPr>
      <w:bookmarkStart w:id="3" w:name="id.2et92p0" w:colFirst="0" w:colLast="0"/>
      <w:bookmarkEnd w:id="3"/>
      <w:r>
        <w:rPr>
          <w:sz w:val="24"/>
          <w:szCs w:val="24"/>
        </w:rPr>
        <w:t xml:space="preserve">ATIÉ, F. O lugar dos lugares na psicanálise de crianças. </w:t>
      </w:r>
      <w:bookmarkStart w:id="4" w:name="_GoBack"/>
      <w:r w:rsidRPr="00CB48B0">
        <w:rPr>
          <w:b/>
          <w:sz w:val="24"/>
          <w:szCs w:val="24"/>
        </w:rPr>
        <w:t>Revista de Psicologia Médica e Psicossomática on-line</w:t>
      </w:r>
      <w:bookmarkEnd w:id="4"/>
      <w:r>
        <w:rPr>
          <w:sz w:val="24"/>
          <w:szCs w:val="24"/>
        </w:rPr>
        <w:t>. Rio de Janeiro, 1999. Disponível em &lt;</w:t>
      </w:r>
      <w:hyperlink r:id="rId6">
        <w:r>
          <w:rPr>
            <w:color w:val="1155CC"/>
            <w:sz w:val="24"/>
            <w:szCs w:val="24"/>
            <w:u w:val="single"/>
          </w:rPr>
          <w:t>www.psy.med.br/textos/frida_atie/textos/...atie/clinica_atie.pdf</w:t>
        </w:r>
      </w:hyperlink>
      <w:r>
        <w:rPr>
          <w:sz w:val="24"/>
          <w:szCs w:val="24"/>
        </w:rPr>
        <w:t xml:space="preserve">&gt;. </w:t>
      </w:r>
      <w:r w:rsidRPr="00CB48B0">
        <w:rPr>
          <w:sz w:val="24"/>
          <w:szCs w:val="24"/>
          <w:lang w:val="en-US"/>
        </w:rPr>
        <w:t>Acesso em 11 Jun. 2016.</w:t>
      </w:r>
    </w:p>
    <w:p w:rsidR="00174E25" w:rsidRPr="00CB48B0" w:rsidRDefault="00174E25">
      <w:pPr>
        <w:spacing w:after="108" w:line="259" w:lineRule="auto"/>
        <w:ind w:left="0" w:right="0" w:firstLine="0"/>
        <w:jc w:val="left"/>
        <w:rPr>
          <w:lang w:val="en-US"/>
        </w:rPr>
      </w:pPr>
    </w:p>
    <w:p w:rsidR="00174E25" w:rsidRPr="00CB48B0" w:rsidRDefault="002A3C07">
      <w:pPr>
        <w:spacing w:line="240" w:lineRule="auto"/>
        <w:rPr>
          <w:lang w:val="en-US"/>
        </w:rPr>
      </w:pPr>
      <w:r w:rsidRPr="00CB48B0">
        <w:rPr>
          <w:sz w:val="24"/>
          <w:szCs w:val="24"/>
          <w:lang w:val="en-US"/>
        </w:rPr>
        <w:t xml:space="preserve">BOWLBY, J. </w:t>
      </w:r>
      <w:r w:rsidRPr="00CB48B0">
        <w:rPr>
          <w:b/>
          <w:i/>
          <w:sz w:val="24"/>
          <w:szCs w:val="24"/>
          <w:lang w:val="en-US"/>
        </w:rPr>
        <w:t xml:space="preserve">The influence of early environment in the development of neurosis and neurotic character. </w:t>
      </w:r>
      <w:r w:rsidRPr="00CB48B0">
        <w:rPr>
          <w:sz w:val="24"/>
          <w:szCs w:val="24"/>
          <w:lang w:val="en-US"/>
        </w:rPr>
        <w:t>International Journal of Psycho-Analysis, vol. 21, p.1-25, 1940.</w:t>
      </w:r>
    </w:p>
    <w:p w:rsidR="00174E25" w:rsidRDefault="002A3C07">
      <w:pPr>
        <w:spacing w:before="100" w:after="100" w:line="240" w:lineRule="auto"/>
        <w:ind w:left="0" w:right="0" w:firstLine="0"/>
      </w:pPr>
      <w:r w:rsidRPr="00CB48B0">
        <w:rPr>
          <w:sz w:val="24"/>
          <w:szCs w:val="24"/>
          <w:lang w:val="en-US"/>
        </w:rPr>
        <w:t xml:space="preserve">______. </w:t>
      </w:r>
      <w:r w:rsidRPr="00CB48B0">
        <w:rPr>
          <w:b/>
          <w:i/>
          <w:sz w:val="24"/>
          <w:szCs w:val="24"/>
          <w:lang w:val="en-US"/>
        </w:rPr>
        <w:t xml:space="preserve">Forty-four juvenile thieves: </w:t>
      </w:r>
      <w:r w:rsidRPr="00CB48B0">
        <w:rPr>
          <w:i/>
          <w:sz w:val="24"/>
          <w:szCs w:val="24"/>
          <w:lang w:val="en-US"/>
        </w:rPr>
        <w:t>Their characters and home life</w:t>
      </w:r>
      <w:r w:rsidRPr="00CB48B0">
        <w:rPr>
          <w:sz w:val="24"/>
          <w:szCs w:val="24"/>
          <w:lang w:val="en-US"/>
        </w:rPr>
        <w:t>. </w:t>
      </w:r>
      <w:r>
        <w:rPr>
          <w:sz w:val="24"/>
          <w:szCs w:val="24"/>
        </w:rPr>
        <w:t>International Journal of Psycho-</w:t>
      </w:r>
      <w:r>
        <w:rPr>
          <w:sz w:val="24"/>
          <w:szCs w:val="24"/>
        </w:rPr>
        <w:t>Analysis, vol. 25, p.107-127,1944.</w:t>
      </w:r>
    </w:p>
    <w:p w:rsidR="00174E25" w:rsidRDefault="00174E25">
      <w:pPr>
        <w:spacing w:before="100" w:after="100" w:line="240" w:lineRule="auto"/>
        <w:ind w:left="0" w:right="0" w:firstLine="0"/>
      </w:pPr>
    </w:p>
    <w:p w:rsidR="00174E25" w:rsidRDefault="002A3C07">
      <w:pPr>
        <w:spacing w:before="100" w:after="100" w:line="240" w:lineRule="auto"/>
        <w:ind w:left="0" w:right="0" w:firstLine="0"/>
      </w:pPr>
      <w:r>
        <w:rPr>
          <w:sz w:val="24"/>
          <w:szCs w:val="24"/>
        </w:rPr>
        <w:t>______</w:t>
      </w:r>
      <w:r>
        <w:rPr>
          <w:i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Apego - </w:t>
      </w:r>
      <w:r>
        <w:rPr>
          <w:sz w:val="24"/>
          <w:szCs w:val="24"/>
        </w:rPr>
        <w:t>A Natureza do Vínculo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3.ed. São Paulo: Martins Fontes, vol 1. 2002.</w:t>
      </w:r>
    </w:p>
    <w:p w:rsidR="00174E25" w:rsidRDefault="00174E25">
      <w:pPr>
        <w:spacing w:line="240" w:lineRule="auto"/>
      </w:pPr>
    </w:p>
    <w:p w:rsidR="00174E25" w:rsidRDefault="002A3C07">
      <w:pPr>
        <w:spacing w:line="240" w:lineRule="auto"/>
      </w:pPr>
      <w:r>
        <w:rPr>
          <w:sz w:val="24"/>
          <w:szCs w:val="24"/>
        </w:rPr>
        <w:t xml:space="preserve">______. </w:t>
      </w:r>
      <w:r>
        <w:rPr>
          <w:b/>
          <w:sz w:val="24"/>
          <w:szCs w:val="24"/>
        </w:rPr>
        <w:t xml:space="preserve">Apego - </w:t>
      </w:r>
      <w:r>
        <w:rPr>
          <w:sz w:val="24"/>
          <w:szCs w:val="24"/>
        </w:rPr>
        <w:t>Separação. 3.ed. São Paulo: Martins Fontes, vol. 2. 2002.</w:t>
      </w:r>
    </w:p>
    <w:p w:rsidR="00174E25" w:rsidRDefault="00174E25">
      <w:pPr>
        <w:spacing w:line="360" w:lineRule="auto"/>
      </w:pPr>
    </w:p>
    <w:p w:rsidR="00174E25" w:rsidRDefault="002A3C07">
      <w:pPr>
        <w:spacing w:line="360" w:lineRule="auto"/>
      </w:pPr>
      <w:r>
        <w:rPr>
          <w:sz w:val="24"/>
          <w:szCs w:val="24"/>
        </w:rPr>
        <w:t xml:space="preserve">______. </w:t>
      </w:r>
      <w:r>
        <w:rPr>
          <w:b/>
          <w:sz w:val="24"/>
          <w:szCs w:val="24"/>
        </w:rPr>
        <w:t xml:space="preserve">Uma base segura: </w:t>
      </w:r>
      <w:r>
        <w:rPr>
          <w:sz w:val="24"/>
          <w:szCs w:val="24"/>
        </w:rPr>
        <w:t>aplicações clínicas da teoria do a</w:t>
      </w:r>
      <w:r>
        <w:rPr>
          <w:sz w:val="24"/>
          <w:szCs w:val="24"/>
        </w:rPr>
        <w:t>pego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(S. M. Barros, Trad.). Porto Alegre: Artes Médicas, 1989.</w:t>
      </w:r>
    </w:p>
    <w:p w:rsidR="00174E25" w:rsidRDefault="00174E25">
      <w:pPr>
        <w:spacing w:line="240" w:lineRule="auto"/>
      </w:pPr>
    </w:p>
    <w:p w:rsidR="00174E25" w:rsidRPr="00CB48B0" w:rsidRDefault="002A3C07">
      <w:pPr>
        <w:spacing w:line="240" w:lineRule="auto"/>
        <w:rPr>
          <w:lang w:val="en-US"/>
        </w:rPr>
      </w:pPr>
      <w:r>
        <w:rPr>
          <w:sz w:val="24"/>
          <w:szCs w:val="24"/>
        </w:rPr>
        <w:t xml:space="preserve">______. </w:t>
      </w:r>
      <w:r>
        <w:rPr>
          <w:b/>
          <w:sz w:val="24"/>
          <w:szCs w:val="24"/>
        </w:rPr>
        <w:t>A natureza das crianças gravata para sua mãe</w:t>
      </w:r>
      <w:r>
        <w:rPr>
          <w:sz w:val="24"/>
          <w:szCs w:val="24"/>
        </w:rPr>
        <w:t xml:space="preserve">. </w:t>
      </w:r>
      <w:r w:rsidRPr="00CB48B0">
        <w:rPr>
          <w:i/>
          <w:sz w:val="24"/>
          <w:szCs w:val="24"/>
          <w:lang w:val="en-US"/>
        </w:rPr>
        <w:t>International Journal of Psychoanalysis</w:t>
      </w:r>
      <w:r w:rsidRPr="00CB48B0">
        <w:rPr>
          <w:sz w:val="24"/>
          <w:szCs w:val="24"/>
          <w:lang w:val="en-US"/>
        </w:rPr>
        <w:t>, v.39, p. 350-371, 1958.</w:t>
      </w:r>
    </w:p>
    <w:p w:rsidR="00174E25" w:rsidRPr="00CB48B0" w:rsidRDefault="00174E25">
      <w:pPr>
        <w:spacing w:after="0" w:line="240" w:lineRule="auto"/>
        <w:rPr>
          <w:lang w:val="en-US"/>
        </w:rPr>
      </w:pPr>
    </w:p>
    <w:p w:rsidR="00174E25" w:rsidRPr="00CB48B0" w:rsidRDefault="002A3C07">
      <w:pPr>
        <w:spacing w:after="0" w:line="240" w:lineRule="auto"/>
        <w:rPr>
          <w:lang w:val="en-US"/>
        </w:rPr>
      </w:pPr>
      <w:r>
        <w:rPr>
          <w:sz w:val="24"/>
          <w:szCs w:val="24"/>
        </w:rPr>
        <w:t xml:space="preserve">______. ; ROBERTSON, J. </w:t>
      </w:r>
      <w:r>
        <w:rPr>
          <w:b/>
          <w:sz w:val="24"/>
          <w:szCs w:val="24"/>
        </w:rPr>
        <w:t>A dois anos de idade, vai ao hospital</w:t>
      </w:r>
      <w:r>
        <w:rPr>
          <w:sz w:val="24"/>
          <w:szCs w:val="24"/>
        </w:rPr>
        <w:t xml:space="preserve">. </w:t>
      </w:r>
      <w:r w:rsidRPr="00CB48B0">
        <w:rPr>
          <w:i/>
          <w:sz w:val="24"/>
          <w:szCs w:val="24"/>
          <w:lang w:val="en-US"/>
        </w:rPr>
        <w:t>Proceedin</w:t>
      </w:r>
      <w:r w:rsidRPr="00CB48B0">
        <w:rPr>
          <w:i/>
          <w:sz w:val="24"/>
          <w:szCs w:val="24"/>
          <w:lang w:val="en-US"/>
        </w:rPr>
        <w:t>gs of the Royal Society of Medicine</w:t>
      </w:r>
      <w:r w:rsidRPr="00CB48B0">
        <w:rPr>
          <w:sz w:val="24"/>
          <w:szCs w:val="24"/>
          <w:lang w:val="en-US"/>
        </w:rPr>
        <w:t>, v.46, p. 425-427, 1952.</w:t>
      </w:r>
    </w:p>
    <w:p w:rsidR="00174E25" w:rsidRPr="00CB48B0" w:rsidRDefault="00174E25">
      <w:pPr>
        <w:spacing w:after="108" w:line="259" w:lineRule="auto"/>
        <w:ind w:left="0" w:right="0" w:firstLine="0"/>
        <w:jc w:val="left"/>
        <w:rPr>
          <w:lang w:val="en-US"/>
        </w:rPr>
      </w:pPr>
    </w:p>
    <w:p w:rsidR="00174E25" w:rsidRDefault="002A3C07">
      <w:pPr>
        <w:spacing w:line="240" w:lineRule="auto"/>
        <w:ind w:left="11" w:right="6" w:firstLine="0"/>
      </w:pPr>
      <w:r>
        <w:rPr>
          <w:sz w:val="24"/>
          <w:szCs w:val="24"/>
        </w:rPr>
        <w:t>BRASIL. Lei n. 13.257, de 8 de março de 2016. Dispõe sobre as políticas públicas para a primeira infância e altera a Lei n. 8.069, de 13 de julho de 1990 (Estatuto da Criança e do Adolescente), o Decreto-Lei n. 3.689, de 3 de outubro de 1941 (Código de Pro</w:t>
      </w:r>
      <w:r>
        <w:rPr>
          <w:sz w:val="24"/>
          <w:szCs w:val="24"/>
        </w:rPr>
        <w:t xml:space="preserve">cesso Penal), a Consolidação das Leis do Trabalho (CLT), aprovada pelo Decreto-Lei n. 5.452, de 1o de maio de 1943, a Lei n. 11.770, de 9 de setembro de 2008, e a Lei n. 12.662, de 5 de junho de 2012. </w:t>
      </w:r>
      <w:r>
        <w:rPr>
          <w:b/>
          <w:sz w:val="24"/>
          <w:szCs w:val="24"/>
        </w:rPr>
        <w:t>Diário Oficial [da República Federativa do Brasil]</w:t>
      </w:r>
      <w:r>
        <w:rPr>
          <w:sz w:val="24"/>
          <w:szCs w:val="24"/>
        </w:rPr>
        <w:t>, Bra</w:t>
      </w:r>
      <w:r>
        <w:rPr>
          <w:sz w:val="24"/>
          <w:szCs w:val="24"/>
        </w:rPr>
        <w:t xml:space="preserve">sília, DF, n. 46, 09 mar. 2016. Seção I, p. 1. Disponível em &lt; </w:t>
      </w:r>
      <w:hyperlink r:id="rId7">
        <w:r>
          <w:rPr>
            <w:sz w:val="24"/>
            <w:szCs w:val="24"/>
          </w:rPr>
          <w:t>http://www.planalto.gov.br/ccivil_03/_Ato2015-2018/2016/Lei/L13257.htm</w:t>
        </w:r>
      </w:hyperlink>
      <w:r>
        <w:rPr>
          <w:sz w:val="24"/>
          <w:szCs w:val="24"/>
        </w:rPr>
        <w:t>&gt;. Acesso em 06 mai. 2016.</w:t>
      </w:r>
    </w:p>
    <w:p w:rsidR="00174E25" w:rsidRDefault="00174E25">
      <w:pPr>
        <w:spacing w:after="108" w:line="259" w:lineRule="auto"/>
        <w:ind w:left="0" w:right="0" w:firstLine="0"/>
        <w:jc w:val="left"/>
      </w:pPr>
    </w:p>
    <w:p w:rsidR="00174E25" w:rsidRDefault="002A3C07">
      <w:pPr>
        <w:spacing w:after="240" w:line="240" w:lineRule="auto"/>
      </w:pPr>
      <w:r>
        <w:rPr>
          <w:sz w:val="24"/>
          <w:szCs w:val="24"/>
        </w:rPr>
        <w:t>MARQU</w:t>
      </w:r>
      <w:r>
        <w:rPr>
          <w:sz w:val="24"/>
          <w:szCs w:val="24"/>
        </w:rPr>
        <w:t xml:space="preserve">ES, Amadeu. </w:t>
      </w:r>
      <w:r>
        <w:rPr>
          <w:b/>
          <w:sz w:val="24"/>
          <w:szCs w:val="24"/>
        </w:rPr>
        <w:t>Dic. de Inglês/Português</w:t>
      </w:r>
      <w:r>
        <w:rPr>
          <w:sz w:val="24"/>
          <w:szCs w:val="24"/>
        </w:rPr>
        <w:t xml:space="preserve">. Ática: São Paulo, 2008. </w:t>
      </w:r>
    </w:p>
    <w:p w:rsidR="00174E25" w:rsidRPr="00CB48B0" w:rsidRDefault="002A3C07">
      <w:pPr>
        <w:spacing w:line="240" w:lineRule="auto"/>
        <w:rPr>
          <w:lang w:val="en-US"/>
        </w:rPr>
      </w:pPr>
      <w:r>
        <w:rPr>
          <w:sz w:val="24"/>
          <w:szCs w:val="24"/>
        </w:rPr>
        <w:t xml:space="preserve">SILVA, Kleyson M. </w:t>
      </w:r>
      <w:r>
        <w:rPr>
          <w:b/>
          <w:sz w:val="24"/>
          <w:szCs w:val="24"/>
        </w:rPr>
        <w:t>Holding e Formação da Personalidade em D. W. Winnicott</w:t>
      </w:r>
      <w:r>
        <w:rPr>
          <w:sz w:val="24"/>
          <w:szCs w:val="24"/>
        </w:rPr>
        <w:t>. 2011. Disponível em: &lt;https://psicologado.com/abordagens/psicanalise/holding-e-formacao-da-personalidade-em-d-w-winnico</w:t>
      </w:r>
      <w:r>
        <w:rPr>
          <w:sz w:val="24"/>
          <w:szCs w:val="24"/>
        </w:rPr>
        <w:t xml:space="preserve">tt&gt;. </w:t>
      </w:r>
      <w:r w:rsidRPr="00CB48B0">
        <w:rPr>
          <w:sz w:val="24"/>
          <w:szCs w:val="24"/>
          <w:lang w:val="en-US"/>
        </w:rPr>
        <w:t>Acesso em: 20 mai. 2016.</w:t>
      </w:r>
    </w:p>
    <w:p w:rsidR="00174E25" w:rsidRPr="00CB48B0" w:rsidRDefault="00174E25">
      <w:pPr>
        <w:spacing w:line="240" w:lineRule="auto"/>
        <w:rPr>
          <w:lang w:val="en-US"/>
        </w:rPr>
      </w:pPr>
    </w:p>
    <w:p w:rsidR="00174E25" w:rsidRDefault="002A3C07">
      <w:pPr>
        <w:spacing w:line="240" w:lineRule="auto"/>
      </w:pPr>
      <w:r w:rsidRPr="00CB48B0">
        <w:rPr>
          <w:sz w:val="24"/>
          <w:szCs w:val="24"/>
          <w:lang w:val="en-US"/>
        </w:rPr>
        <w:t xml:space="preserve">SPREITZER, G, BACEVISE, P, GARRETT, L. </w:t>
      </w:r>
      <w:r w:rsidRPr="00CB48B0">
        <w:rPr>
          <w:b/>
          <w:i/>
          <w:sz w:val="24"/>
          <w:szCs w:val="24"/>
          <w:lang w:val="en-US"/>
        </w:rPr>
        <w:t>Harvard Business Review [Internet]. Workspaces: Why People Thrive in Coworking Spaces. Insight Center: How Digital Business Models Are Changing</w:t>
      </w:r>
      <w:r w:rsidRPr="00CB48B0">
        <w:rPr>
          <w:sz w:val="24"/>
          <w:szCs w:val="24"/>
          <w:lang w:val="en-US"/>
        </w:rPr>
        <w:t xml:space="preserve">, September; 2015. Disponível em </w:t>
      </w:r>
      <w:hyperlink r:id="rId8">
        <w:r w:rsidRPr="00CB48B0">
          <w:rPr>
            <w:color w:val="0563C1"/>
            <w:sz w:val="24"/>
            <w:szCs w:val="24"/>
            <w:u w:val="single"/>
            <w:lang w:val="en-US"/>
          </w:rPr>
          <w:t>https://hbr.org/2015/05/why­people-thrive­in­coworking­spaces</w:t>
        </w:r>
      </w:hyperlink>
      <w:r w:rsidRPr="00CB48B0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Acesso em 26 jun 2016.</w:t>
      </w:r>
    </w:p>
    <w:p w:rsidR="00174E25" w:rsidRDefault="00174E25">
      <w:pPr>
        <w:spacing w:after="108" w:line="259" w:lineRule="auto"/>
        <w:ind w:left="0" w:right="0" w:firstLine="0"/>
        <w:jc w:val="left"/>
      </w:pPr>
    </w:p>
    <w:p w:rsidR="00174E25" w:rsidRDefault="002A3C07">
      <w:pPr>
        <w:spacing w:line="240" w:lineRule="auto"/>
      </w:pPr>
      <w:r>
        <w:rPr>
          <w:sz w:val="24"/>
          <w:szCs w:val="24"/>
        </w:rPr>
        <w:t>WINNICOTT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D. W. </w:t>
      </w:r>
      <w:r>
        <w:rPr>
          <w:b/>
          <w:sz w:val="24"/>
          <w:szCs w:val="24"/>
        </w:rPr>
        <w:t>O Brincar e a Realidade</w:t>
      </w:r>
      <w:r>
        <w:rPr>
          <w:sz w:val="24"/>
          <w:szCs w:val="24"/>
        </w:rPr>
        <w:t>. Rio de Janeiro: Imago, 1953. p.13-44.</w:t>
      </w:r>
    </w:p>
    <w:p w:rsidR="00174E25" w:rsidRDefault="00174E25">
      <w:pPr>
        <w:spacing w:line="240" w:lineRule="auto"/>
      </w:pPr>
    </w:p>
    <w:p w:rsidR="00174E25" w:rsidRDefault="002A3C07">
      <w:pPr>
        <w:spacing w:line="240" w:lineRule="auto"/>
      </w:pPr>
      <w:r>
        <w:rPr>
          <w:sz w:val="24"/>
          <w:szCs w:val="24"/>
        </w:rPr>
        <w:t>______</w:t>
      </w:r>
      <w:r>
        <w:rPr>
          <w:sz w:val="24"/>
          <w:szCs w:val="24"/>
          <w:highlight w:val="white"/>
        </w:rPr>
        <w:t>. O Brincar.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A atividade criativa e a busca do eu (self). In</w:t>
      </w:r>
      <w:r>
        <w:rPr>
          <w:color w:val="00796B"/>
          <w:sz w:val="24"/>
          <w:szCs w:val="24"/>
          <w:highlight w:val="white"/>
        </w:rPr>
        <w:t>:______.</w:t>
      </w:r>
      <w:r>
        <w:rPr>
          <w:sz w:val="24"/>
          <w:szCs w:val="24"/>
          <w:highlight w:val="white"/>
        </w:rPr>
        <w:t> </w:t>
      </w:r>
      <w:r>
        <w:rPr>
          <w:b/>
          <w:sz w:val="24"/>
          <w:szCs w:val="24"/>
          <w:highlight w:val="white"/>
        </w:rPr>
        <w:t>O Brincar e a Realidade</w:t>
      </w:r>
      <w:r>
        <w:rPr>
          <w:sz w:val="24"/>
          <w:szCs w:val="24"/>
          <w:highlight w:val="white"/>
        </w:rPr>
        <w:t>.  Rio de Janeiro: Imago, 1971. p.79-93.</w:t>
      </w:r>
    </w:p>
    <w:p w:rsidR="00174E25" w:rsidRDefault="00174E25">
      <w:pPr>
        <w:spacing w:line="240" w:lineRule="auto"/>
      </w:pPr>
    </w:p>
    <w:p w:rsidR="00174E25" w:rsidRDefault="002A3C07">
      <w:pPr>
        <w:spacing w:line="240" w:lineRule="auto"/>
      </w:pPr>
      <w:r>
        <w:rPr>
          <w:sz w:val="24"/>
          <w:szCs w:val="24"/>
          <w:highlight w:val="white"/>
        </w:rPr>
        <w:t>______. O Lugar em que vivemos.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In</w:t>
      </w:r>
      <w:r>
        <w:rPr>
          <w:color w:val="00796B"/>
          <w:sz w:val="24"/>
          <w:szCs w:val="24"/>
          <w:highlight w:val="white"/>
        </w:rPr>
        <w:t>:______.</w:t>
      </w:r>
      <w:r>
        <w:rPr>
          <w:sz w:val="24"/>
          <w:szCs w:val="24"/>
          <w:highlight w:val="white"/>
        </w:rPr>
        <w:t> </w:t>
      </w:r>
      <w:r>
        <w:rPr>
          <w:b/>
          <w:sz w:val="24"/>
          <w:szCs w:val="24"/>
          <w:highlight w:val="white"/>
        </w:rPr>
        <w:t>O Brincar e a Realidade</w:t>
      </w:r>
      <w:r>
        <w:rPr>
          <w:sz w:val="24"/>
          <w:szCs w:val="24"/>
          <w:highlight w:val="white"/>
        </w:rPr>
        <w:t>. Rio de Janeiro: Imago, 1971. p.145-152.</w:t>
      </w:r>
    </w:p>
    <w:p w:rsidR="00174E25" w:rsidRDefault="00174E25">
      <w:pPr>
        <w:spacing w:line="240" w:lineRule="auto"/>
      </w:pPr>
    </w:p>
    <w:p w:rsidR="00174E25" w:rsidRDefault="002A3C07">
      <w:pPr>
        <w:spacing w:line="240" w:lineRule="auto"/>
      </w:pPr>
      <w:r>
        <w:rPr>
          <w:sz w:val="24"/>
          <w:szCs w:val="24"/>
          <w:highlight w:val="white"/>
        </w:rPr>
        <w:t xml:space="preserve">______. </w:t>
      </w:r>
      <w:r>
        <w:rPr>
          <w:b/>
          <w:sz w:val="24"/>
          <w:szCs w:val="24"/>
        </w:rPr>
        <w:t>Os be</w:t>
      </w:r>
      <w:r>
        <w:rPr>
          <w:b/>
          <w:sz w:val="24"/>
          <w:szCs w:val="24"/>
        </w:rPr>
        <w:t>bês e suas mães</w:t>
      </w:r>
      <w:r>
        <w:rPr>
          <w:sz w:val="24"/>
          <w:szCs w:val="24"/>
        </w:rPr>
        <w:t>. São Paulo: Martins Fontes, 1998.</w:t>
      </w:r>
    </w:p>
    <w:p w:rsidR="00174E25" w:rsidRDefault="00174E25">
      <w:pPr>
        <w:spacing w:after="108" w:line="259" w:lineRule="auto"/>
        <w:ind w:left="0" w:right="0" w:firstLine="0"/>
        <w:jc w:val="left"/>
      </w:pPr>
    </w:p>
    <w:sectPr w:rsidR="00174E2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0" w:right="1133" w:bottom="1133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07" w:rsidRDefault="002A3C07">
      <w:pPr>
        <w:spacing w:after="0" w:line="240" w:lineRule="auto"/>
      </w:pPr>
      <w:r>
        <w:separator/>
      </w:r>
    </w:p>
  </w:endnote>
  <w:endnote w:type="continuationSeparator" w:id="0">
    <w:p w:rsidR="002A3C07" w:rsidRDefault="002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25" w:rsidRDefault="00174E25">
    <w:pPr>
      <w:tabs>
        <w:tab w:val="center" w:pos="4252"/>
        <w:tab w:val="right" w:pos="8504"/>
      </w:tabs>
      <w:spacing w:after="72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25" w:rsidRDefault="00174E25">
    <w:pPr>
      <w:tabs>
        <w:tab w:val="center" w:pos="4252"/>
        <w:tab w:val="right" w:pos="8504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07" w:rsidRDefault="002A3C07">
      <w:pPr>
        <w:spacing w:after="0" w:line="240" w:lineRule="auto"/>
      </w:pPr>
      <w:r>
        <w:separator/>
      </w:r>
    </w:p>
  </w:footnote>
  <w:footnote w:type="continuationSeparator" w:id="0">
    <w:p w:rsidR="002A3C07" w:rsidRDefault="002A3C07">
      <w:pPr>
        <w:spacing w:after="0" w:line="240" w:lineRule="auto"/>
      </w:pPr>
      <w:r>
        <w:continuationSeparator/>
      </w:r>
    </w:p>
  </w:footnote>
  <w:footnote w:id="1">
    <w:p w:rsidR="00174E25" w:rsidRDefault="002A3C07">
      <w:pPr>
        <w:keepNext/>
        <w:keepLines/>
        <w:ind w:right="-7"/>
      </w:pPr>
      <w:r>
        <w:rPr>
          <w:vertAlign w:val="superscript"/>
        </w:rPr>
        <w:footnoteRef/>
      </w:r>
      <w:r>
        <w:rPr>
          <w:sz w:val="20"/>
          <w:szCs w:val="20"/>
        </w:rPr>
        <w:t>Proposta ao XIII ENEPE por alunos do Curso de Psicologia (6º período) das Faculdades Pequeno Príncipe</w:t>
      </w:r>
    </w:p>
  </w:footnote>
  <w:footnote w:id="2">
    <w:p w:rsidR="00174E25" w:rsidRDefault="002A3C07">
      <w:pPr>
        <w:spacing w:after="0" w:line="240" w:lineRule="auto"/>
        <w:ind w:left="0" w:right="0" w:firstLine="0"/>
      </w:pPr>
      <w:r>
        <w:rPr>
          <w:vertAlign w:val="superscript"/>
        </w:rPr>
        <w:footnoteRef/>
      </w:r>
      <w:r>
        <w:rPr>
          <w:sz w:val="20"/>
          <w:szCs w:val="20"/>
        </w:rPr>
        <w:t>Graduanda em Psicologia na Faculdades Pequeno Príncipe (FPP); Gestão Pública pelo Instituto Federal do Paraná (IFPR); fsenna22@gmail.com</w:t>
      </w:r>
    </w:p>
  </w:footnote>
  <w:footnote w:id="3">
    <w:p w:rsidR="00174E25" w:rsidRDefault="002A3C07">
      <w:pPr>
        <w:spacing w:after="0" w:line="240" w:lineRule="auto"/>
        <w:ind w:left="0" w:right="0" w:firstLine="0"/>
      </w:pPr>
      <w:r>
        <w:rPr>
          <w:vertAlign w:val="superscript"/>
        </w:rPr>
        <w:footnoteRef/>
      </w:r>
      <w:r>
        <w:rPr>
          <w:sz w:val="20"/>
          <w:szCs w:val="20"/>
        </w:rPr>
        <w:t>Graduanda em Psicologia na Faculdades Pequeno Príncipe (FPP); Graduanda em Pedagogia na Universidade Federal do Paraná</w:t>
      </w:r>
      <w:r>
        <w:rPr>
          <w:sz w:val="20"/>
          <w:szCs w:val="20"/>
        </w:rPr>
        <w:t xml:space="preserve"> (UFPR); grochacorrea@hotmail.com</w:t>
      </w:r>
    </w:p>
  </w:footnote>
  <w:footnote w:id="4">
    <w:p w:rsidR="00174E25" w:rsidRDefault="002A3C07">
      <w:pPr>
        <w:spacing w:after="0" w:line="240" w:lineRule="auto"/>
        <w:ind w:left="0" w:right="0" w:firstLine="0"/>
        <w:jc w:val="left"/>
      </w:pPr>
      <w:r>
        <w:rPr>
          <w:vertAlign w:val="superscript"/>
        </w:rPr>
        <w:footnoteRef/>
      </w:r>
      <w:r>
        <w:rPr>
          <w:sz w:val="20"/>
          <w:szCs w:val="20"/>
        </w:rPr>
        <w:t>Graduanda em Psicologia na Faculdades Pequeno Príncipe (FPP); georggiac@gmail.com</w:t>
      </w:r>
    </w:p>
  </w:footnote>
  <w:footnote w:id="5">
    <w:p w:rsidR="00174E25" w:rsidRDefault="002A3C07">
      <w:pPr>
        <w:spacing w:after="0" w:line="240" w:lineRule="auto"/>
        <w:ind w:left="0" w:right="0" w:firstLine="0"/>
      </w:pPr>
      <w:r>
        <w:rPr>
          <w:vertAlign w:val="superscript"/>
        </w:rPr>
        <w:footnoteRef/>
      </w:r>
      <w:r>
        <w:rPr>
          <w:sz w:val="20"/>
          <w:szCs w:val="20"/>
        </w:rPr>
        <w:t>Graduando em Psicologia na Faculdades Pequeno Príncipe (FPP); MBA em Gestão de Planos de Saúde na Universidade São Camilo (USC/SP); Tecnól</w:t>
      </w:r>
      <w:r>
        <w:rPr>
          <w:sz w:val="20"/>
          <w:szCs w:val="20"/>
        </w:rPr>
        <w:t>ogo em Processamento de Dados na Universidade Federal do Paraná (UFPR); gilbertorigotti@gmail.com</w:t>
      </w:r>
    </w:p>
  </w:footnote>
  <w:footnote w:id="6">
    <w:p w:rsidR="00174E25" w:rsidRDefault="002A3C07">
      <w:pPr>
        <w:spacing w:after="0" w:line="240" w:lineRule="auto"/>
        <w:ind w:left="0" w:right="0" w:firstLine="0"/>
      </w:pPr>
      <w:r>
        <w:rPr>
          <w:vertAlign w:val="superscript"/>
        </w:rPr>
        <w:footnoteRef/>
      </w:r>
      <w:r>
        <w:rPr>
          <w:sz w:val="20"/>
          <w:szCs w:val="20"/>
        </w:rPr>
        <w:t>Graduando em Psicologia na Instituição Faculdades Pequeno Príncipe (FPP); Engenharia Elétrica na Universidade Veiga de Almeida (UVA/RJ); semoan@gmail.com</w:t>
      </w:r>
    </w:p>
  </w:footnote>
  <w:footnote w:id="7">
    <w:p w:rsidR="00174E25" w:rsidRDefault="002A3C07">
      <w:pPr>
        <w:spacing w:after="0" w:line="240" w:lineRule="auto"/>
        <w:ind w:left="0" w:right="0" w:firstLine="0"/>
      </w:pPr>
      <w:r>
        <w:rPr>
          <w:vertAlign w:val="superscript"/>
        </w:rPr>
        <w:footnoteRef/>
      </w:r>
      <w:r>
        <w:rPr>
          <w:sz w:val="20"/>
          <w:szCs w:val="20"/>
        </w:rPr>
        <w:t>Me</w:t>
      </w:r>
      <w:r>
        <w:rPr>
          <w:sz w:val="20"/>
          <w:szCs w:val="20"/>
        </w:rPr>
        <w:t>stre em Educação – UTP PR, Doutoranda em Educação - UTP PR; Psicóloga Clínica e Institucional - PUC-PR; Especialista em Psicoterapia Sistêmica, em Sexualidade Humana. Professora Orientadora de TCC e docente em Faculdades Pequeno Príncipe (FPP); rcf.salgado</w:t>
      </w:r>
      <w:r>
        <w:rPr>
          <w:sz w:val="20"/>
          <w:szCs w:val="20"/>
        </w:rPr>
        <w:t>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25" w:rsidRDefault="002A3C07">
    <w:pPr>
      <w:tabs>
        <w:tab w:val="right" w:pos="9000"/>
      </w:tabs>
      <w:spacing w:before="720"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>PAGE</w:instrText>
    </w:r>
    <w:r>
      <w:fldChar w:fldCharType="separate"/>
    </w:r>
    <w:r w:rsidR="00CB48B0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25" w:rsidRDefault="00174E25">
    <w:pPr>
      <w:spacing w:before="720"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4E25"/>
    <w:rsid w:val="00174E25"/>
    <w:rsid w:val="002A3C07"/>
    <w:rsid w:val="00C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BE0B4-40FE-4249-956B-25A3C01E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3"/>
        <w:szCs w:val="23"/>
        <w:lang w:val="pt-BR" w:eastAsia="pt-BR" w:bidi="ar-SA"/>
      </w:rPr>
    </w:rPrDefault>
    <w:pPrDefault>
      <w:pPr>
        <w:spacing w:after="6" w:line="249" w:lineRule="auto"/>
        <w:ind w:left="10" w:right="4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15/05/why&#173;people-thrive&#173;in&#173;coworking&#173;spac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15-2018/2016/Lei/L13257.ht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.med.br/textos/frida_atie/textos/...atie/clinica_atie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gilberto rigotti</cp:lastModifiedBy>
  <cp:revision>2</cp:revision>
  <dcterms:created xsi:type="dcterms:W3CDTF">2016-08-16T20:32:00Z</dcterms:created>
  <dcterms:modified xsi:type="dcterms:W3CDTF">2016-08-16T20:33:00Z</dcterms:modified>
</cp:coreProperties>
</file>