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4" w:rsidRDefault="009171A9" w:rsidP="009171A9">
      <w:pPr>
        <w:spacing w:line="240" w:lineRule="auto"/>
        <w:jc w:val="center"/>
        <w:rPr>
          <w:b/>
          <w:color w:val="000000" w:themeColor="text1"/>
        </w:rPr>
      </w:pPr>
      <w:r w:rsidRPr="009171A9">
        <w:rPr>
          <w:b/>
          <w:color w:val="000000" w:themeColor="text1"/>
        </w:rPr>
        <w:t>SUPEREXPRESSÃO DE MAHOGUNINA EM LINHAGEM CELULAR ESTÁVEL</w:t>
      </w:r>
    </w:p>
    <w:p w:rsidR="00C17304" w:rsidRDefault="00C17304">
      <w:pPr>
        <w:spacing w:line="240" w:lineRule="auto"/>
        <w:ind w:firstLine="0"/>
        <w:rPr>
          <w:color w:val="000000" w:themeColor="text1"/>
        </w:rPr>
      </w:pPr>
    </w:p>
    <w:p w:rsidR="00C17304" w:rsidRDefault="00A425C8" w:rsidP="00EB77D5">
      <w:pPr>
        <w:spacing w:line="240" w:lineRule="auto"/>
        <w:ind w:firstLine="0"/>
        <w:jc w:val="right"/>
      </w:pPr>
      <w:bookmarkStart w:id="0" w:name="_GoBack"/>
      <w:r>
        <w:rPr>
          <w:color w:val="000000" w:themeColor="text1"/>
        </w:rPr>
        <w:t xml:space="preserve">Barbara Mello </w:t>
      </w:r>
      <w:proofErr w:type="gramStart"/>
      <w:r>
        <w:rPr>
          <w:color w:val="000000" w:themeColor="text1"/>
        </w:rPr>
        <w:t>Brandão</w:t>
      </w:r>
      <w:r>
        <w:rPr>
          <w:color w:val="000000" w:themeColor="text1"/>
          <w:vertAlign w:val="superscript"/>
        </w:rPr>
        <w:t>1,</w:t>
      </w:r>
      <w:proofErr w:type="gramEnd"/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, Luiza </w:t>
      </w:r>
      <w:proofErr w:type="spellStart"/>
      <w:r>
        <w:rPr>
          <w:color w:val="000000" w:themeColor="text1"/>
        </w:rPr>
        <w:t>Schier</w:t>
      </w:r>
      <w:proofErr w:type="spellEnd"/>
      <w:r>
        <w:rPr>
          <w:color w:val="000000" w:themeColor="text1"/>
        </w:rPr>
        <w:t xml:space="preserve"> Gortz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,</w:t>
      </w:r>
      <w:r w:rsidR="009171A9">
        <w:rPr>
          <w:color w:val="000000" w:themeColor="text1"/>
        </w:rPr>
        <w:t xml:space="preserve"> Liana Alves de Oliveira</w:t>
      </w:r>
      <w:r w:rsidR="009171A9">
        <w:rPr>
          <w:color w:val="000000" w:themeColor="text1"/>
          <w:vertAlign w:val="superscript"/>
        </w:rPr>
        <w:t>2</w:t>
      </w:r>
      <w:r w:rsidR="009171A9">
        <w:rPr>
          <w:color w:val="000000" w:themeColor="text1"/>
        </w:rPr>
        <w:t>,</w:t>
      </w:r>
      <w:r>
        <w:rPr>
          <w:color w:val="000000" w:themeColor="text1"/>
        </w:rPr>
        <w:t xml:space="preserve"> Roberto Rosati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</w:p>
    <w:bookmarkEnd w:id="0"/>
    <w:p w:rsidR="00C17304" w:rsidRDefault="00C17304" w:rsidP="00EB77D5">
      <w:pPr>
        <w:spacing w:line="240" w:lineRule="auto"/>
        <w:jc w:val="right"/>
      </w:pPr>
    </w:p>
    <w:p w:rsidR="00C17304" w:rsidRDefault="00A425C8" w:rsidP="00EB77D5">
      <w:pPr>
        <w:pStyle w:val="PargrafodaLista"/>
        <w:spacing w:line="240" w:lineRule="auto"/>
        <w:ind w:left="1429" w:firstLine="0"/>
        <w:jc w:val="right"/>
      </w:pPr>
      <w:r>
        <w:t xml:space="preserve">1. Acadêmica do Curso de Farmácia </w:t>
      </w:r>
      <w:proofErr w:type="gramStart"/>
      <w:r>
        <w:t>pela Faculdades</w:t>
      </w:r>
      <w:proofErr w:type="gramEnd"/>
      <w:r>
        <w:t xml:space="preserve"> Pequeno Príncipe;</w:t>
      </w:r>
    </w:p>
    <w:p w:rsidR="00C17304" w:rsidRDefault="00A425C8" w:rsidP="00EB77D5">
      <w:pPr>
        <w:pStyle w:val="PargrafodaLista"/>
        <w:spacing w:line="240" w:lineRule="auto"/>
        <w:ind w:left="1429" w:firstLine="0"/>
        <w:jc w:val="right"/>
      </w:pPr>
      <w:r>
        <w:t>2. Faculdades Pequeno Príncipe e Instituto de Pesquisa Pelé Pequeno Príncipe, Curitiba (PR), Brasil.</w:t>
      </w:r>
    </w:p>
    <w:p w:rsidR="00EB77D5" w:rsidRDefault="00EB77D5" w:rsidP="009171A9">
      <w:pPr>
        <w:spacing w:line="240" w:lineRule="auto"/>
        <w:ind w:firstLine="0"/>
        <w:jc w:val="right"/>
      </w:pPr>
      <w:r>
        <w:t>barbarambrandao@hotmail.com</w:t>
      </w:r>
    </w:p>
    <w:p w:rsidR="00C17304" w:rsidRDefault="00C17304">
      <w:pPr>
        <w:pStyle w:val="PargrafodaLista"/>
        <w:spacing w:line="240" w:lineRule="auto"/>
        <w:ind w:left="1069" w:firstLine="0"/>
      </w:pPr>
    </w:p>
    <w:p w:rsidR="00C17304" w:rsidRDefault="00C17304">
      <w:pPr>
        <w:spacing w:line="240" w:lineRule="auto"/>
        <w:ind w:firstLine="0"/>
      </w:pPr>
    </w:p>
    <w:p w:rsidR="00C17304" w:rsidRDefault="00A425C8" w:rsidP="00021480">
      <w:pPr>
        <w:spacing w:line="240" w:lineRule="auto"/>
        <w:ind w:firstLine="0"/>
        <w:jc w:val="both"/>
      </w:pPr>
      <w:r>
        <w:rPr>
          <w:b/>
          <w:bCs/>
        </w:rPr>
        <w:t>Introdução</w:t>
      </w:r>
    </w:p>
    <w:p w:rsidR="00C17304" w:rsidRDefault="00A425C8">
      <w:pPr>
        <w:spacing w:line="240" w:lineRule="auto"/>
        <w:jc w:val="both"/>
      </w:pPr>
      <w:proofErr w:type="spellStart"/>
      <w:r>
        <w:rPr>
          <w:i/>
        </w:rPr>
        <w:t>Mahogunin</w:t>
      </w:r>
      <w:proofErr w:type="spellEnd"/>
      <w:r>
        <w:rPr>
          <w:i/>
        </w:rPr>
        <w:t xml:space="preserve"> RING </w:t>
      </w:r>
      <w:proofErr w:type="spellStart"/>
      <w:r>
        <w:rPr>
          <w:i/>
        </w:rPr>
        <w:t>Finger</w:t>
      </w:r>
      <w:proofErr w:type="spellEnd"/>
      <w:r>
        <w:t xml:space="preserve"> 1 – MGRN1 (pela tradução livre, </w:t>
      </w:r>
      <w:proofErr w:type="spellStart"/>
      <w:r>
        <w:t>Mahogunina</w:t>
      </w:r>
      <w:proofErr w:type="spellEnd"/>
      <w:r>
        <w:t xml:space="preserve">) é uma enzima E3 </w:t>
      </w:r>
      <w:proofErr w:type="spellStart"/>
      <w:r>
        <w:t>ligase</w:t>
      </w:r>
      <w:proofErr w:type="spellEnd"/>
      <w:r>
        <w:t xml:space="preserve">, pertencente à família RING </w:t>
      </w:r>
      <w:proofErr w:type="spellStart"/>
      <w:r>
        <w:rPr>
          <w:i/>
        </w:rPr>
        <w:t>Finger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Really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Interesting</w:t>
      </w:r>
      <w:proofErr w:type="spellEnd"/>
      <w:r>
        <w:rPr>
          <w:i/>
        </w:rPr>
        <w:t xml:space="preserve"> New Gene). </w:t>
      </w:r>
      <w:r>
        <w:t xml:space="preserve">Enzimas E3 </w:t>
      </w:r>
      <w:proofErr w:type="spellStart"/>
      <w:r>
        <w:t>ligases</w:t>
      </w:r>
      <w:proofErr w:type="spellEnd"/>
      <w:r>
        <w:t xml:space="preserve"> são particularmente importantes, já que determinam quais substratos serão marcados a partir de um processo sequencial chamado </w:t>
      </w:r>
      <w:proofErr w:type="spellStart"/>
      <w:r>
        <w:t>Ubiquitinação</w:t>
      </w:r>
      <w:proofErr w:type="spellEnd"/>
      <w:r>
        <w:t xml:space="preserve">, juntamente com as enzimas Ativadora de </w:t>
      </w:r>
      <w:proofErr w:type="spellStart"/>
      <w:r>
        <w:t>ubiquitina</w:t>
      </w:r>
      <w:proofErr w:type="spellEnd"/>
      <w:r>
        <w:t xml:space="preserve"> (E1) e </w:t>
      </w:r>
      <w:proofErr w:type="spellStart"/>
      <w:r>
        <w:t>Conjugadora</w:t>
      </w:r>
      <w:proofErr w:type="spellEnd"/>
      <w:r>
        <w:t xml:space="preserve"> de </w:t>
      </w:r>
      <w:proofErr w:type="spellStart"/>
      <w:r>
        <w:t>ubiquitina</w:t>
      </w:r>
      <w:proofErr w:type="spellEnd"/>
      <w:r>
        <w:t xml:space="preserve"> (E2).  Entre os </w:t>
      </w:r>
      <w:r w:rsidRPr="00EB77D5">
        <w:t>efeitos</w:t>
      </w:r>
      <w:r>
        <w:t xml:space="preserve"> da </w:t>
      </w:r>
      <w:proofErr w:type="spellStart"/>
      <w:r>
        <w:t>ubiquitinação</w:t>
      </w:r>
      <w:proofErr w:type="spellEnd"/>
      <w:r>
        <w:t xml:space="preserve"> estão: afetar a atividade das proteínas, promover ou impedir interações proteicas e degradar proteínas via </w:t>
      </w:r>
      <w:proofErr w:type="spellStart"/>
      <w:r>
        <w:t>proteossomo</w:t>
      </w:r>
      <w:proofErr w:type="spellEnd"/>
      <w:r>
        <w:t xml:space="preserve">. </w:t>
      </w:r>
      <w:r w:rsidRPr="00EB77D5">
        <w:t>Dados de literatura</w:t>
      </w:r>
      <w:r>
        <w:t xml:space="preserve"> sugerem que MGRN1 seja importante em vários processos, sendo um deles o controle de qualidade proteico, </w:t>
      </w:r>
      <w:r w:rsidRPr="00EB77D5">
        <w:t xml:space="preserve">e responsável por fenótipos </w:t>
      </w:r>
      <w:proofErr w:type="gramStart"/>
      <w:r w:rsidRPr="00EB77D5">
        <w:t>quais a</w:t>
      </w:r>
      <w:proofErr w:type="gramEnd"/>
      <w:r w:rsidRPr="00EB77D5">
        <w:t xml:space="preserve"> pigmentação e o desenvolvimento de degeneração espongiforme em animais</w:t>
      </w:r>
      <w:r>
        <w:t>. Desta forma, um modelo celu</w:t>
      </w:r>
      <w:r w:rsidR="00EB77D5">
        <w:t xml:space="preserve">lar que </w:t>
      </w:r>
      <w:proofErr w:type="spellStart"/>
      <w:r w:rsidR="00EB77D5">
        <w:t>superexpresse</w:t>
      </w:r>
      <w:proofErr w:type="spellEnd"/>
      <w:r w:rsidR="00EB77D5">
        <w:t xml:space="preserve"> a</w:t>
      </w:r>
      <w:r>
        <w:t xml:space="preserve"> MGRN1 seria importante para </w:t>
      </w:r>
      <w:r w:rsidRPr="00EB77D5">
        <w:t>esclarecer a funcionalidade desta proteína.</w:t>
      </w:r>
    </w:p>
    <w:p w:rsidR="00C17304" w:rsidRDefault="0061390E" w:rsidP="009171A9">
      <w:pPr>
        <w:spacing w:line="240" w:lineRule="auto"/>
        <w:ind w:firstLine="0"/>
        <w:jc w:val="both"/>
      </w:pPr>
      <w:r>
        <w:rPr>
          <w:b/>
          <w:bCs/>
        </w:rPr>
        <w:t>Métodos</w:t>
      </w:r>
    </w:p>
    <w:p w:rsidR="00C17304" w:rsidRDefault="00A425C8">
      <w:pPr>
        <w:spacing w:line="240" w:lineRule="auto"/>
        <w:jc w:val="both"/>
      </w:pPr>
      <w:r>
        <w:t>Células HEK293 (</w:t>
      </w:r>
      <w:proofErr w:type="spellStart"/>
      <w:r>
        <w:rPr>
          <w:i/>
        </w:rPr>
        <w:t>Human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Embryonic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Kidney</w:t>
      </w:r>
      <w:proofErr w:type="spellEnd"/>
      <w:r>
        <w:rPr>
          <w:i/>
        </w:rPr>
        <w:t xml:space="preserve"> 293</w:t>
      </w:r>
      <w:r>
        <w:t>) e N2a (</w:t>
      </w:r>
      <w:proofErr w:type="spellStart"/>
      <w:r>
        <w:rPr>
          <w:i/>
        </w:rPr>
        <w:t>Neuro</w:t>
      </w:r>
      <w:proofErr w:type="spellEnd"/>
      <w:r>
        <w:rPr>
          <w:i/>
        </w:rPr>
        <w:t xml:space="preserve"> 2a</w:t>
      </w:r>
      <w:r>
        <w:t xml:space="preserve">) foram geneticamente modificadas para que expressassem MGRN1 por indução do antibiótico </w:t>
      </w:r>
      <w:proofErr w:type="spellStart"/>
      <w:r>
        <w:t>doxiciclina</w:t>
      </w:r>
      <w:proofErr w:type="spellEnd"/>
      <w:r>
        <w:t>.</w:t>
      </w:r>
      <w:r w:rsidR="009171A9">
        <w:t xml:space="preserve"> </w:t>
      </w:r>
      <w:r w:rsidR="009171A9" w:rsidRPr="009171A9">
        <w:t xml:space="preserve">As células foram </w:t>
      </w:r>
      <w:proofErr w:type="spellStart"/>
      <w:r w:rsidR="009171A9" w:rsidRPr="009171A9">
        <w:t>trasfectadas</w:t>
      </w:r>
      <w:proofErr w:type="spellEnd"/>
      <w:r w:rsidR="009171A9" w:rsidRPr="009171A9">
        <w:t xml:space="preserve"> com plasmídeo </w:t>
      </w:r>
      <w:proofErr w:type="spellStart"/>
      <w:proofErr w:type="gramStart"/>
      <w:r w:rsidR="009171A9" w:rsidRPr="009171A9">
        <w:t>pSBtet</w:t>
      </w:r>
      <w:proofErr w:type="spellEnd"/>
      <w:r w:rsidR="009171A9" w:rsidRPr="009171A9">
        <w:t>-BP</w:t>
      </w:r>
      <w:proofErr w:type="gramEnd"/>
      <w:r w:rsidR="009171A9" w:rsidRPr="009171A9">
        <w:t xml:space="preserve"> para introdução do gene sintético, e selecionadas com </w:t>
      </w:r>
      <w:proofErr w:type="spellStart"/>
      <w:r w:rsidR="009171A9" w:rsidRPr="009171A9">
        <w:t>puromicina</w:t>
      </w:r>
      <w:proofErr w:type="spellEnd"/>
      <w:r w:rsidR="009171A9">
        <w:t xml:space="preserve">. </w:t>
      </w:r>
      <w:r>
        <w:t xml:space="preserve">Para validar este sistema, </w:t>
      </w:r>
      <w:r w:rsidR="00021480">
        <w:t xml:space="preserve">foi </w:t>
      </w:r>
      <w:r w:rsidRPr="00EB77D5">
        <w:t>realizada</w:t>
      </w:r>
      <w:r>
        <w:t xml:space="preserve"> técnica de </w:t>
      </w:r>
      <w:r w:rsidRPr="00EB77D5">
        <w:t>transcrição reversa-PCR em tempo real (RT-</w:t>
      </w:r>
      <w:proofErr w:type="spellStart"/>
      <w:r w:rsidRPr="00EB77D5">
        <w:t>qPCR</w:t>
      </w:r>
      <w:proofErr w:type="spellEnd"/>
      <w:r w:rsidRPr="00EB77D5">
        <w:t>)</w:t>
      </w:r>
      <w:r>
        <w:t xml:space="preserve"> com o objetivo de investigar a expressão gênica de MGRN1. </w:t>
      </w:r>
      <w:r w:rsidRPr="00EB77D5">
        <w:t xml:space="preserve">As células foram cultivadas até alcançar a confluência e </w:t>
      </w:r>
      <w:proofErr w:type="spellStart"/>
      <w:r w:rsidRPr="00EB77D5">
        <w:t>lisadas</w:t>
      </w:r>
      <w:proofErr w:type="spellEnd"/>
      <w:r w:rsidRPr="00EB77D5">
        <w:t xml:space="preserve"> para extração de RNA total </w:t>
      </w:r>
      <w:r>
        <w:t xml:space="preserve">pelo método </w:t>
      </w:r>
      <w:proofErr w:type="spellStart"/>
      <w:r>
        <w:t>Trizol</w:t>
      </w:r>
      <w:proofErr w:type="spellEnd"/>
      <w:r>
        <w:t xml:space="preserve">. Todas as amostras </w:t>
      </w:r>
      <w:r w:rsidRPr="00EB77D5">
        <w:t xml:space="preserve">de RNA foram quantificadas por </w:t>
      </w:r>
      <w:proofErr w:type="spellStart"/>
      <w:r w:rsidRPr="00EB77D5">
        <w:t>fluorimetria</w:t>
      </w:r>
      <w:proofErr w:type="spellEnd"/>
      <w:r w:rsidRPr="00EB77D5">
        <w:t xml:space="preserve">, sua pureza determinada por espectrofotometria </w:t>
      </w:r>
      <w:r>
        <w:t xml:space="preserve">e a integridade de </w:t>
      </w:r>
      <w:proofErr w:type="gramStart"/>
      <w:r>
        <w:t>cada</w:t>
      </w:r>
      <w:proofErr w:type="gramEnd"/>
      <w:r>
        <w:t xml:space="preserve"> RNA foi avaliada pelo equipamento </w:t>
      </w:r>
      <w:proofErr w:type="spellStart"/>
      <w:r>
        <w:t>Tap</w:t>
      </w:r>
      <w:r w:rsidR="00021480">
        <w:t>eStation</w:t>
      </w:r>
      <w:proofErr w:type="spellEnd"/>
      <w:r w:rsidR="00021480">
        <w:t>. O RNA total foi</w:t>
      </w:r>
      <w:r>
        <w:t xml:space="preserve"> transformado em </w:t>
      </w:r>
      <w:proofErr w:type="spellStart"/>
      <w:proofErr w:type="gramStart"/>
      <w:r>
        <w:t>cDNA</w:t>
      </w:r>
      <w:proofErr w:type="spellEnd"/>
      <w:proofErr w:type="gramEnd"/>
      <w:r>
        <w:t xml:space="preserve"> pelo método da Transcrição Reversa utilizando o Kit </w:t>
      </w:r>
      <w:proofErr w:type="spellStart"/>
      <w:r w:rsidRPr="00EB77D5">
        <w:t>GoScript</w:t>
      </w:r>
      <w:proofErr w:type="spellEnd"/>
      <w:r w:rsidRPr="00EB77D5">
        <w:t xml:space="preserve"> Reverse </w:t>
      </w:r>
      <w:proofErr w:type="spellStart"/>
      <w:r w:rsidRPr="00EB77D5">
        <w:t>Transcriptase</w:t>
      </w:r>
      <w:proofErr w:type="spellEnd"/>
      <w:r w:rsidRPr="00EB77D5">
        <w:t xml:space="preserve"> (</w:t>
      </w:r>
      <w:proofErr w:type="spellStart"/>
      <w:r w:rsidRPr="00EB77D5">
        <w:t>Promega</w:t>
      </w:r>
      <w:proofErr w:type="spellEnd"/>
      <w:r w:rsidRPr="00EB77D5">
        <w:t>)</w:t>
      </w:r>
      <w:r>
        <w:t xml:space="preserve"> e para a P</w:t>
      </w:r>
      <w:r w:rsidR="00021480">
        <w:t>CR em tempo real, foi utilizado</w:t>
      </w:r>
      <w:r>
        <w:t xml:space="preserve"> o Kit Power SYBR Green PCR Master </w:t>
      </w:r>
      <w:r w:rsidRPr="00EB77D5">
        <w:t>Mix (</w:t>
      </w:r>
      <w:proofErr w:type="spellStart"/>
      <w:r w:rsidRPr="00EB77D5">
        <w:t>Applied</w:t>
      </w:r>
      <w:proofErr w:type="spellEnd"/>
      <w:r w:rsidRPr="00EB77D5">
        <w:t xml:space="preserve"> </w:t>
      </w:r>
      <w:proofErr w:type="spellStart"/>
      <w:r w:rsidRPr="00EB77D5">
        <w:t>Biosystems</w:t>
      </w:r>
      <w:proofErr w:type="spellEnd"/>
      <w:r w:rsidRPr="00EB77D5">
        <w:t>).</w:t>
      </w:r>
      <w:r>
        <w:t xml:space="preserve"> Para a RT-</w:t>
      </w:r>
      <w:proofErr w:type="spellStart"/>
      <w:r>
        <w:t>qPCR</w:t>
      </w:r>
      <w:proofErr w:type="spellEnd"/>
      <w:r>
        <w:t xml:space="preserve">, que tem como objetivo </w:t>
      </w:r>
      <w:r w:rsidRPr="00EB77D5">
        <w:t xml:space="preserve">avaliar a expressão relativa de um determinado gene através o monitoramento da amplificação de DNA de interesse, foram desenvolvidos iniciadores </w:t>
      </w:r>
      <w:r w:rsidR="00EB77D5" w:rsidRPr="00EB77D5">
        <w:t>específicos</w:t>
      </w:r>
      <w:r w:rsidR="00021480">
        <w:t xml:space="preserve">; a técnica foi </w:t>
      </w:r>
      <w:r w:rsidRPr="00EB77D5">
        <w:t>realizada com corante fluorescente para DNA dupla fita (SYBR Green).</w:t>
      </w:r>
    </w:p>
    <w:p w:rsidR="00C17304" w:rsidRDefault="0061390E" w:rsidP="009171A9">
      <w:pPr>
        <w:spacing w:line="240" w:lineRule="auto"/>
        <w:ind w:firstLine="0"/>
        <w:jc w:val="both"/>
      </w:pPr>
      <w:r>
        <w:rPr>
          <w:b/>
          <w:bCs/>
        </w:rPr>
        <w:t>Resultados e conclusão</w:t>
      </w:r>
    </w:p>
    <w:p w:rsidR="00C17304" w:rsidRDefault="00A425C8">
      <w:pPr>
        <w:spacing w:line="240" w:lineRule="auto"/>
        <w:jc w:val="both"/>
      </w:pPr>
      <w:r w:rsidRPr="00EB77D5">
        <w:t>Foram cultivadas com sucesso todas as linhagens estáveis</w:t>
      </w:r>
      <w:r w:rsidR="00EB77D5">
        <w:t xml:space="preserve"> que eram</w:t>
      </w:r>
      <w:r w:rsidRPr="00EB77D5">
        <w:t xml:space="preserve"> objeto do estudo, obtendo amostras de RNA que demonstraram um alto </w:t>
      </w:r>
      <w:r w:rsidR="00EB77D5">
        <w:t>grau de pureza e ótima integridad</w:t>
      </w:r>
      <w:r w:rsidRPr="00EB77D5">
        <w:t>e</w:t>
      </w:r>
      <w:r w:rsidR="00EB77D5">
        <w:t>, sendo</w:t>
      </w:r>
      <w:r>
        <w:t xml:space="preserve"> aptas à </w:t>
      </w:r>
      <w:proofErr w:type="spellStart"/>
      <w:r>
        <w:t>retrotranscrição</w:t>
      </w:r>
      <w:proofErr w:type="spellEnd"/>
      <w:r>
        <w:t xml:space="preserve"> em </w:t>
      </w:r>
      <w:proofErr w:type="spellStart"/>
      <w:proofErr w:type="gramStart"/>
      <w:r>
        <w:t>cDNA</w:t>
      </w:r>
      <w:proofErr w:type="spellEnd"/>
      <w:proofErr w:type="gramEnd"/>
      <w:r>
        <w:t xml:space="preserve">. Desta forma, </w:t>
      </w:r>
      <w:r w:rsidR="00B816D3">
        <w:t xml:space="preserve">foi possível </w:t>
      </w:r>
      <w:r w:rsidR="00021480">
        <w:t xml:space="preserve">criar uma linhagem celular estável que expressa MGRN1 74 vezes acima da linha de base quando induzida por </w:t>
      </w:r>
      <w:proofErr w:type="spellStart"/>
      <w:r w:rsidR="00021480">
        <w:t>doxiciclina</w:t>
      </w:r>
      <w:proofErr w:type="spellEnd"/>
      <w:r w:rsidR="00021480">
        <w:t>.</w:t>
      </w:r>
    </w:p>
    <w:p w:rsidR="00C17304" w:rsidRDefault="00C17304">
      <w:pPr>
        <w:spacing w:line="240" w:lineRule="auto"/>
      </w:pPr>
    </w:p>
    <w:p w:rsidR="00C17304" w:rsidRDefault="00A425C8">
      <w:pPr>
        <w:spacing w:line="240" w:lineRule="auto"/>
        <w:ind w:firstLine="0"/>
      </w:pPr>
      <w:r>
        <w:rPr>
          <w:b/>
        </w:rPr>
        <w:t>Palavras-chave:</w:t>
      </w:r>
      <w:r>
        <w:t xml:space="preserve"> MGRN1; </w:t>
      </w:r>
      <w:proofErr w:type="spellStart"/>
      <w:proofErr w:type="gramStart"/>
      <w:r>
        <w:t>qPCR</w:t>
      </w:r>
      <w:proofErr w:type="spellEnd"/>
      <w:proofErr w:type="gramEnd"/>
      <w:r>
        <w:t>; Transcrição Reversa.</w:t>
      </w:r>
    </w:p>
    <w:p w:rsidR="00C17304" w:rsidRDefault="00C17304">
      <w:pPr>
        <w:spacing w:line="240" w:lineRule="auto"/>
        <w:ind w:firstLine="0"/>
      </w:pPr>
    </w:p>
    <w:p w:rsidR="00C17304" w:rsidRDefault="00C17304">
      <w:pPr>
        <w:spacing w:line="240" w:lineRule="auto"/>
        <w:ind w:firstLine="0"/>
      </w:pPr>
    </w:p>
    <w:p w:rsidR="00C17304" w:rsidRPr="008D065F" w:rsidRDefault="00A425C8">
      <w:pPr>
        <w:spacing w:line="240" w:lineRule="auto"/>
        <w:ind w:firstLine="0"/>
        <w:rPr>
          <w:lang w:val="en-US"/>
        </w:rPr>
      </w:pPr>
      <w:r w:rsidRPr="008D065F">
        <w:rPr>
          <w:b/>
          <w:lang w:val="en-US"/>
        </w:rPr>
        <w:lastRenderedPageBreak/>
        <w:t>REFERÊNCIAS</w:t>
      </w:r>
    </w:p>
    <w:p w:rsidR="00C17304" w:rsidRPr="008D065F" w:rsidRDefault="00C17304">
      <w:pPr>
        <w:spacing w:line="240" w:lineRule="auto"/>
        <w:rPr>
          <w:lang w:val="en-US"/>
        </w:rPr>
      </w:pPr>
    </w:p>
    <w:p w:rsidR="00C17304" w:rsidRPr="008D065F" w:rsidRDefault="00C17304">
      <w:pPr>
        <w:spacing w:line="240" w:lineRule="auto"/>
        <w:ind w:firstLine="0"/>
        <w:rPr>
          <w:highlight w:val="yellow"/>
          <w:lang w:val="en-US"/>
        </w:rPr>
      </w:pPr>
    </w:p>
    <w:p w:rsidR="00C17304" w:rsidRDefault="00A425C8">
      <w:pPr>
        <w:spacing w:line="240" w:lineRule="auto"/>
        <w:ind w:firstLine="0"/>
      </w:pPr>
      <w:r w:rsidRPr="008D065F">
        <w:rPr>
          <w:lang w:val="en-US"/>
        </w:rPr>
        <w:t xml:space="preserve">BAGHER, P.; JIAO, J.; SMITH, O. C.; COTA, C. D.; GUNN, T. M. </w:t>
      </w:r>
      <w:r w:rsidRPr="008D065F">
        <w:rPr>
          <w:b/>
          <w:lang w:val="en-US"/>
        </w:rPr>
        <w:t xml:space="preserve">Characterization of </w:t>
      </w:r>
      <w:proofErr w:type="spellStart"/>
      <w:r w:rsidRPr="008D065F">
        <w:rPr>
          <w:b/>
          <w:lang w:val="en-US"/>
        </w:rPr>
        <w:t>Mahogunin</w:t>
      </w:r>
      <w:proofErr w:type="spellEnd"/>
      <w:r w:rsidRPr="008D065F">
        <w:rPr>
          <w:b/>
          <w:lang w:val="en-US"/>
        </w:rPr>
        <w:t xml:space="preserve"> Ring Finger-1 expression in mice</w:t>
      </w:r>
      <w:r w:rsidRPr="008D065F">
        <w:rPr>
          <w:lang w:val="en-US"/>
        </w:rPr>
        <w:t xml:space="preserve">. </w:t>
      </w:r>
      <w:r>
        <w:t xml:space="preserve">Disponível em: &lt; </w:t>
      </w:r>
      <w:proofErr w:type="gramStart"/>
      <w:r>
        <w:t>https</w:t>
      </w:r>
      <w:proofErr w:type="gramEnd"/>
      <w:r>
        <w:t xml:space="preserve">://www.ncbi.nlm.nih.gov/pubmed/17083490 &gt; Acesso em: 16.Ago.2017. </w:t>
      </w:r>
    </w:p>
    <w:p w:rsidR="00C17304" w:rsidRDefault="00A425C8">
      <w:pPr>
        <w:spacing w:line="240" w:lineRule="auto"/>
        <w:rPr>
          <w:highlight w:val="yellow"/>
        </w:rPr>
      </w:pPr>
      <w:r>
        <w:t> </w:t>
      </w:r>
    </w:p>
    <w:p w:rsidR="00C17304" w:rsidRDefault="00A425C8">
      <w:pPr>
        <w:spacing w:line="240" w:lineRule="auto"/>
        <w:ind w:firstLine="0"/>
        <w:rPr>
          <w:highlight w:val="yellow"/>
        </w:rPr>
      </w:pPr>
      <w:r w:rsidRPr="008D065F">
        <w:rPr>
          <w:lang w:val="en-US"/>
        </w:rPr>
        <w:t xml:space="preserve">HE, L.; ELDRIDGE, A. G.; JACKSON, P. K.; GUNN, T. M.; BARSH, G. S. </w:t>
      </w:r>
      <w:r w:rsidRPr="008D065F">
        <w:rPr>
          <w:b/>
          <w:lang w:val="en-US"/>
        </w:rPr>
        <w:t xml:space="preserve">Accessory proteins for </w:t>
      </w:r>
      <w:proofErr w:type="spellStart"/>
      <w:r w:rsidRPr="008D065F">
        <w:rPr>
          <w:b/>
          <w:lang w:val="en-US"/>
        </w:rPr>
        <w:t>melanocortin</w:t>
      </w:r>
      <w:proofErr w:type="spellEnd"/>
      <w:r w:rsidRPr="008D065F">
        <w:rPr>
          <w:b/>
          <w:lang w:val="en-US"/>
        </w:rPr>
        <w:t xml:space="preserve"> signaling</w:t>
      </w:r>
      <w:r w:rsidRPr="008D065F">
        <w:rPr>
          <w:lang w:val="en-US"/>
        </w:rPr>
        <w:t xml:space="preserve">: </w:t>
      </w:r>
      <w:proofErr w:type="spellStart"/>
      <w:r w:rsidRPr="008D065F">
        <w:rPr>
          <w:lang w:val="en-US"/>
        </w:rPr>
        <w:t>attractin</w:t>
      </w:r>
      <w:proofErr w:type="spellEnd"/>
      <w:r w:rsidRPr="008D065F">
        <w:rPr>
          <w:lang w:val="en-US"/>
        </w:rPr>
        <w:t xml:space="preserve"> and </w:t>
      </w:r>
      <w:proofErr w:type="spellStart"/>
      <w:r w:rsidRPr="008D065F">
        <w:rPr>
          <w:lang w:val="en-US"/>
        </w:rPr>
        <w:t>mahogunin</w:t>
      </w:r>
      <w:proofErr w:type="spellEnd"/>
      <w:r w:rsidRPr="008D065F">
        <w:rPr>
          <w:lang w:val="en-US"/>
        </w:rPr>
        <w:t xml:space="preserve">. </w:t>
      </w:r>
      <w:r>
        <w:t xml:space="preserve">Disponível em: &lt; </w:t>
      </w:r>
      <w:proofErr w:type="gramStart"/>
      <w:r>
        <w:t>https</w:t>
      </w:r>
      <w:proofErr w:type="gramEnd"/>
      <w:r>
        <w:t xml:space="preserve">://www.ncbi.nlm.nih.gov/pubmed/12851328 &gt; Acesso em: 16.Ago.2017. </w:t>
      </w:r>
    </w:p>
    <w:p w:rsidR="00C17304" w:rsidRDefault="00A425C8">
      <w:pPr>
        <w:spacing w:line="240" w:lineRule="auto"/>
        <w:rPr>
          <w:highlight w:val="yellow"/>
        </w:rPr>
      </w:pPr>
      <w:r>
        <w:t> </w:t>
      </w:r>
    </w:p>
    <w:p w:rsidR="00C17304" w:rsidRDefault="00A425C8">
      <w:pPr>
        <w:spacing w:line="240" w:lineRule="auto"/>
        <w:ind w:firstLine="0"/>
        <w:rPr>
          <w:highlight w:val="yellow"/>
        </w:rPr>
      </w:pPr>
      <w:r w:rsidRPr="008D065F">
        <w:rPr>
          <w:lang w:val="en-US"/>
        </w:rPr>
        <w:t xml:space="preserve">PÉREZ-OLIVA, A. B.; OLIVARES, C.; JIMÉNEZ-CERVANTES, C.; GARCÍA-BORRÓN, J. C. </w:t>
      </w:r>
      <w:proofErr w:type="spellStart"/>
      <w:r w:rsidRPr="008D065F">
        <w:rPr>
          <w:b/>
          <w:lang w:val="en-US"/>
        </w:rPr>
        <w:t>Mahogunin</w:t>
      </w:r>
      <w:proofErr w:type="spellEnd"/>
      <w:r w:rsidRPr="008D065F">
        <w:rPr>
          <w:b/>
          <w:lang w:val="en-US"/>
        </w:rPr>
        <w:t xml:space="preserve"> Ring Finger-1 (MGRN1) E3 Ubiquitin Ligase Inhibits Signaling from </w:t>
      </w:r>
      <w:proofErr w:type="spellStart"/>
      <w:r w:rsidRPr="008D065F">
        <w:rPr>
          <w:b/>
          <w:lang w:val="en-US"/>
        </w:rPr>
        <w:t>Melanocortin</w:t>
      </w:r>
      <w:proofErr w:type="spellEnd"/>
      <w:r w:rsidRPr="008D065F">
        <w:rPr>
          <w:b/>
          <w:lang w:val="en-US"/>
        </w:rPr>
        <w:t xml:space="preserve"> Receptor by Competition with G</w:t>
      </w:r>
      <w:r>
        <w:rPr>
          <w:b/>
        </w:rPr>
        <w:t>α</w:t>
      </w:r>
      <w:r w:rsidRPr="008D065F">
        <w:rPr>
          <w:b/>
          <w:lang w:val="en-US"/>
        </w:rPr>
        <w:t>S</w:t>
      </w:r>
      <w:r w:rsidRPr="008D065F">
        <w:rPr>
          <w:lang w:val="en-US"/>
        </w:rPr>
        <w:t xml:space="preserve">. </w:t>
      </w:r>
      <w:r>
        <w:t xml:space="preserve">Disponível em: &lt; https://www.ncbi.nlm.nih.gov/pubmed/19737927 &gt; Acesso em: 16.Ago.2017 </w:t>
      </w:r>
    </w:p>
    <w:p w:rsidR="00C17304" w:rsidRDefault="00A425C8">
      <w:pPr>
        <w:spacing w:line="240" w:lineRule="auto"/>
        <w:rPr>
          <w:highlight w:val="yellow"/>
        </w:rPr>
      </w:pPr>
      <w:r>
        <w:t> </w:t>
      </w:r>
    </w:p>
    <w:p w:rsidR="00C17304" w:rsidRDefault="00A425C8">
      <w:pPr>
        <w:spacing w:line="240" w:lineRule="auto"/>
        <w:ind w:firstLine="0"/>
        <w:rPr>
          <w:highlight w:val="yellow"/>
        </w:rPr>
      </w:pPr>
      <w:r w:rsidRPr="008D065F">
        <w:rPr>
          <w:lang w:val="en-US"/>
        </w:rPr>
        <w:t xml:space="preserve">UPADHYAY, A.; AMANULLAH, A.; CHHANGANI, D.; MISHRA, R.; PRASAD, A.; MISHRA, A. </w:t>
      </w:r>
      <w:proofErr w:type="spellStart"/>
      <w:r w:rsidRPr="008D065F">
        <w:rPr>
          <w:b/>
          <w:lang w:val="en-US"/>
        </w:rPr>
        <w:t>Mahogunin</w:t>
      </w:r>
      <w:proofErr w:type="spellEnd"/>
      <w:r w:rsidRPr="008D065F">
        <w:rPr>
          <w:b/>
          <w:lang w:val="en-US"/>
        </w:rPr>
        <w:t xml:space="preserve"> Ring Finger-1 (MGRN1), a Multifaceted Ubiquitin Ligase: Recent Unraveling of Neurobiological Mechanisms</w:t>
      </w:r>
      <w:r w:rsidRPr="008D065F">
        <w:rPr>
          <w:lang w:val="en-US"/>
        </w:rPr>
        <w:t xml:space="preserve">. </w:t>
      </w:r>
      <w:r>
        <w:t xml:space="preserve">Disponível em: &lt; </w:t>
      </w:r>
      <w:proofErr w:type="gramStart"/>
      <w:r>
        <w:t>https</w:t>
      </w:r>
      <w:proofErr w:type="gramEnd"/>
      <w:r>
        <w:t xml:space="preserve">://www.ncbi.nlm.nih.gov/pubmed/26255182 &gt; Acesso em: 16.Ago.2017. </w:t>
      </w:r>
    </w:p>
    <w:p w:rsidR="00C17304" w:rsidRDefault="00A425C8">
      <w:pPr>
        <w:spacing w:line="240" w:lineRule="auto"/>
        <w:rPr>
          <w:highlight w:val="yellow"/>
        </w:rPr>
      </w:pPr>
      <w:r>
        <w:t> </w:t>
      </w:r>
    </w:p>
    <w:p w:rsidR="00C17304" w:rsidRDefault="00A425C8">
      <w:pPr>
        <w:spacing w:line="240" w:lineRule="auto"/>
        <w:ind w:firstLine="0"/>
      </w:pPr>
      <w:r w:rsidRPr="008D065F">
        <w:rPr>
          <w:lang w:val="en-US"/>
        </w:rPr>
        <w:t xml:space="preserve">UPADHYAY, A.; AMANULLAH, A.; CHHANGANI, D.; MISHRA, R.; MISHRA, A. </w:t>
      </w:r>
      <w:r w:rsidRPr="008D065F">
        <w:rPr>
          <w:b/>
          <w:lang w:val="en-US"/>
        </w:rPr>
        <w:t>Selective multifaceted E3 ubiquitin ligases barricade extreme defense</w:t>
      </w:r>
      <w:r w:rsidRPr="008D065F">
        <w:rPr>
          <w:lang w:val="en-US"/>
        </w:rPr>
        <w:t xml:space="preserve">: Potential therapeutic targets for neurodegeneration and ageing. </w:t>
      </w:r>
      <w:r>
        <w:t xml:space="preserve">Disponível em: &lt; </w:t>
      </w:r>
      <w:proofErr w:type="gramStart"/>
      <w:r>
        <w:t>https</w:t>
      </w:r>
      <w:proofErr w:type="gramEnd"/>
      <w:r>
        <w:t>://www.ncbi.nlm.nih.gov/pubmed/26247845 &gt; Acesso em: 16.Ago.2017.</w:t>
      </w:r>
    </w:p>
    <w:sectPr w:rsidR="00C17304">
      <w:headerReference w:type="default" r:id="rId8"/>
      <w:pgSz w:w="11906" w:h="16838"/>
      <w:pgMar w:top="1418" w:right="1134" w:bottom="1134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56" w:rsidRDefault="00503656">
      <w:pPr>
        <w:spacing w:line="240" w:lineRule="auto"/>
      </w:pPr>
      <w:r>
        <w:separator/>
      </w:r>
    </w:p>
  </w:endnote>
  <w:endnote w:type="continuationSeparator" w:id="0">
    <w:p w:rsidR="00503656" w:rsidRDefault="00503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56" w:rsidRDefault="00503656">
      <w:pPr>
        <w:spacing w:line="240" w:lineRule="auto"/>
      </w:pPr>
      <w:r>
        <w:separator/>
      </w:r>
    </w:p>
  </w:footnote>
  <w:footnote w:type="continuationSeparator" w:id="0">
    <w:p w:rsidR="00503656" w:rsidRDefault="00503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04" w:rsidRDefault="00C17304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ED2"/>
    <w:multiLevelType w:val="multilevel"/>
    <w:tmpl w:val="9564B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DC1950"/>
    <w:multiLevelType w:val="multilevel"/>
    <w:tmpl w:val="A8204F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04"/>
    <w:rsid w:val="00021480"/>
    <w:rsid w:val="00033D75"/>
    <w:rsid w:val="004974C2"/>
    <w:rsid w:val="00503656"/>
    <w:rsid w:val="0061390E"/>
    <w:rsid w:val="008D065F"/>
    <w:rsid w:val="009171A9"/>
    <w:rsid w:val="00A425C8"/>
    <w:rsid w:val="00B816D3"/>
    <w:rsid w:val="00C17304"/>
    <w:rsid w:val="00E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709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D6491"/>
  </w:style>
  <w:style w:type="character" w:customStyle="1" w:styleId="RodapChar">
    <w:name w:val="Rodapé Char"/>
    <w:basedOn w:val="Fontepargpadro"/>
    <w:link w:val="Rodap"/>
    <w:uiPriority w:val="99"/>
    <w:qFormat/>
    <w:rsid w:val="00DD6491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D6491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DD6491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D12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709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D6491"/>
  </w:style>
  <w:style w:type="character" w:customStyle="1" w:styleId="RodapChar">
    <w:name w:val="Rodapé Char"/>
    <w:basedOn w:val="Fontepargpadro"/>
    <w:link w:val="Rodap"/>
    <w:uiPriority w:val="99"/>
    <w:qFormat/>
    <w:rsid w:val="00DD6491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D6491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DD6491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D1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Brandão</dc:creator>
  <cp:lastModifiedBy>Faculdades Pequeno Príncipe</cp:lastModifiedBy>
  <cp:revision>2</cp:revision>
  <dcterms:created xsi:type="dcterms:W3CDTF">2017-12-13T14:04:00Z</dcterms:created>
  <dcterms:modified xsi:type="dcterms:W3CDTF">2017-12-13T14:04:00Z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