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46" w:rsidRDefault="00D65546" w:rsidP="00D6554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Catha edulis Forssk. </w:t>
      </w:r>
      <w:r>
        <w:rPr>
          <w:b/>
          <w:sz w:val="24"/>
          <w:szCs w:val="24"/>
        </w:rPr>
        <w:t>(</w:t>
      </w:r>
      <w:r>
        <w:rPr>
          <w:b/>
          <w:color w:val="212121"/>
          <w:sz w:val="24"/>
          <w:szCs w:val="24"/>
          <w:highlight w:val="white"/>
        </w:rPr>
        <w:t xml:space="preserve">Celastraceae) </w:t>
      </w:r>
      <w:r>
        <w:rPr>
          <w:b/>
          <w:sz w:val="24"/>
          <w:szCs w:val="24"/>
        </w:rPr>
        <w:t>E SEUS PRINCÍPIOS ATIVOS</w:t>
      </w:r>
    </w:p>
    <w:p w:rsidR="00C53498" w:rsidRPr="00C53498" w:rsidRDefault="00C53498" w:rsidP="00D6554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brunagafo@gmail.com</w:t>
      </w:r>
    </w:p>
    <w:p w:rsidR="00D65546" w:rsidRDefault="00D65546" w:rsidP="00D65546">
      <w:pPr>
        <w:spacing w:line="240" w:lineRule="auto"/>
        <w:rPr>
          <w:sz w:val="24"/>
          <w:szCs w:val="24"/>
        </w:rPr>
      </w:pPr>
    </w:p>
    <w:p w:rsidR="00D65546" w:rsidRDefault="00D65546" w:rsidP="00D655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PALAVRAS-CHAVE: Planta </w:t>
      </w:r>
      <w:r>
        <w:rPr>
          <w:i/>
          <w:sz w:val="24"/>
          <w:szCs w:val="24"/>
        </w:rPr>
        <w:t>Catha edulis</w:t>
      </w:r>
      <w:r>
        <w:rPr>
          <w:sz w:val="24"/>
          <w:szCs w:val="24"/>
        </w:rPr>
        <w:t xml:space="preserve">; Catinona sintética; Efeitos no organismo </w:t>
      </w:r>
    </w:p>
    <w:p w:rsidR="00D65546" w:rsidRDefault="00D65546" w:rsidP="00D65546">
      <w:pPr>
        <w:spacing w:line="240" w:lineRule="auto"/>
        <w:jc w:val="both"/>
        <w:rPr>
          <w:b/>
          <w:i/>
          <w:sz w:val="24"/>
          <w:szCs w:val="24"/>
        </w:rPr>
      </w:pPr>
    </w:p>
    <w:p w:rsidR="006200E6" w:rsidRDefault="006200E6" w:rsidP="001363FA">
      <w:pPr>
        <w:spacing w:line="240" w:lineRule="auto"/>
        <w:rPr>
          <w:sz w:val="24"/>
          <w:szCs w:val="24"/>
        </w:rPr>
      </w:pPr>
    </w:p>
    <w:p w:rsidR="006200E6" w:rsidRPr="00DD3E9E" w:rsidRDefault="00CE62D2" w:rsidP="001363FA">
      <w:pPr>
        <w:spacing w:line="240" w:lineRule="auto"/>
        <w:jc w:val="right"/>
        <w:rPr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ADRIELLI DIOGO PEREIRA</w:t>
      </w:r>
      <w:r w:rsidR="00D65546">
        <w:rPr>
          <w:sz w:val="24"/>
          <w:szCs w:val="24"/>
          <w:vertAlign w:val="superscript"/>
        </w:rPr>
        <w:t xml:space="preserve"> – FARMÁCIA FPP</w:t>
      </w:r>
    </w:p>
    <w:p w:rsidR="006200E6" w:rsidRPr="00DD3E9E" w:rsidRDefault="00CE62D2" w:rsidP="001363FA">
      <w:pPr>
        <w:spacing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BRUNA GAFO DE CAMARGO</w:t>
      </w:r>
      <w:r w:rsidR="00D65546">
        <w:rPr>
          <w:sz w:val="24"/>
          <w:szCs w:val="24"/>
        </w:rPr>
        <w:t xml:space="preserve"> </w:t>
      </w:r>
      <w:r w:rsidR="00D65546" w:rsidRPr="00D65546">
        <w:rPr>
          <w:sz w:val="24"/>
          <w:szCs w:val="24"/>
          <w:vertAlign w:val="superscript"/>
        </w:rPr>
        <w:t>– BIOMEDICINA FPP</w:t>
      </w:r>
    </w:p>
    <w:p w:rsidR="006200E6" w:rsidRPr="00DD3E9E" w:rsidRDefault="00CE62D2" w:rsidP="001363FA">
      <w:pPr>
        <w:spacing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BRUNNA FRANCESCA LAURIANTI FERNANDES</w:t>
      </w:r>
      <w:r w:rsidR="00D65546">
        <w:rPr>
          <w:sz w:val="24"/>
          <w:szCs w:val="24"/>
        </w:rPr>
        <w:t xml:space="preserve"> - </w:t>
      </w:r>
      <w:r w:rsidR="00D65546">
        <w:rPr>
          <w:sz w:val="24"/>
          <w:szCs w:val="24"/>
          <w:vertAlign w:val="superscript"/>
        </w:rPr>
        <w:t xml:space="preserve">FARMÁCIA FPP </w:t>
      </w:r>
    </w:p>
    <w:p w:rsidR="006200E6" w:rsidRPr="00DD3E9E" w:rsidRDefault="00CE62D2" w:rsidP="001363FA">
      <w:pPr>
        <w:spacing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CAMILA BANDEIRA FORNAZARI</w:t>
      </w:r>
      <w:r w:rsidR="00D65546" w:rsidRPr="00D65546">
        <w:rPr>
          <w:sz w:val="24"/>
          <w:szCs w:val="24"/>
          <w:vertAlign w:val="superscript"/>
        </w:rPr>
        <w:t>– BIOMEDICINA FPP</w:t>
      </w:r>
    </w:p>
    <w:p w:rsidR="006200E6" w:rsidRDefault="00CE62D2" w:rsidP="001363FA">
      <w:pPr>
        <w:spacing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LAURA ALEXANDRA CAIXETA MACIEL</w:t>
      </w:r>
      <w:r w:rsidR="00D65546">
        <w:rPr>
          <w:sz w:val="24"/>
          <w:szCs w:val="24"/>
        </w:rPr>
        <w:t xml:space="preserve">- </w:t>
      </w:r>
      <w:r w:rsidR="00D65546">
        <w:rPr>
          <w:sz w:val="24"/>
          <w:szCs w:val="24"/>
          <w:vertAlign w:val="superscript"/>
        </w:rPr>
        <w:t xml:space="preserve">FARMÁCIA FPP </w:t>
      </w:r>
    </w:p>
    <w:p w:rsidR="006200E6" w:rsidRPr="00C53498" w:rsidRDefault="00DD3E9E" w:rsidP="00C53498">
      <w:pPr>
        <w:spacing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JANAÍNA LOPES CÂMARA</w:t>
      </w:r>
      <w:r w:rsidR="00D65546">
        <w:rPr>
          <w:sz w:val="24"/>
          <w:szCs w:val="24"/>
        </w:rPr>
        <w:t xml:space="preserve"> </w:t>
      </w:r>
      <w:bookmarkEnd w:id="0"/>
      <w:r w:rsidR="00D65546" w:rsidRPr="00D65546">
        <w:rPr>
          <w:sz w:val="24"/>
          <w:szCs w:val="24"/>
          <w:vertAlign w:val="superscript"/>
        </w:rPr>
        <w:t>– DOCENTE FPP</w:t>
      </w:r>
    </w:p>
    <w:p w:rsidR="006200E6" w:rsidRDefault="006200E6" w:rsidP="001363FA">
      <w:pPr>
        <w:spacing w:line="240" w:lineRule="auto"/>
        <w:rPr>
          <w:sz w:val="24"/>
          <w:szCs w:val="24"/>
        </w:rPr>
      </w:pPr>
    </w:p>
    <w:p w:rsidR="006200E6" w:rsidRDefault="00CE62D2" w:rsidP="001363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Catha Edulis </w:t>
      </w:r>
      <w:r>
        <w:rPr>
          <w:sz w:val="24"/>
          <w:szCs w:val="24"/>
        </w:rPr>
        <w:t>é uma planta cujo princípio ativo mais utilizado é a catinona, capaz de causar repercussões fisiológicas e psicoativas. Seus derivados sintéticos são consumidos como alternativa a drogas ilegais, devido a semelhança molecular. Apesar do crescente uso da khat, tanto em sua forma natural quanto anômala, os estudos acerca de seus efeitos no organismo são escassos.</w:t>
      </w:r>
      <w:r w:rsidR="00DD3E9E">
        <w:rPr>
          <w:sz w:val="24"/>
          <w:szCs w:val="24"/>
        </w:rPr>
        <w:t xml:space="preserve"> Esta revisão teve como objetivos determinar</w:t>
      </w:r>
      <w:r>
        <w:rPr>
          <w:sz w:val="24"/>
          <w:szCs w:val="24"/>
        </w:rPr>
        <w:t xml:space="preserve"> o que é a </w:t>
      </w:r>
      <w:r>
        <w:rPr>
          <w:i/>
          <w:sz w:val="24"/>
          <w:szCs w:val="24"/>
        </w:rPr>
        <w:t>Catha edulis</w:t>
      </w:r>
      <w:r>
        <w:rPr>
          <w:sz w:val="24"/>
          <w:szCs w:val="24"/>
        </w:rPr>
        <w:t xml:space="preserve"> e </w:t>
      </w:r>
      <w:r w:rsidR="00DD3E9E">
        <w:rPr>
          <w:sz w:val="24"/>
          <w:szCs w:val="24"/>
        </w:rPr>
        <w:t xml:space="preserve">quais </w:t>
      </w:r>
      <w:r>
        <w:rPr>
          <w:sz w:val="24"/>
          <w:szCs w:val="24"/>
        </w:rPr>
        <w:t>seu</w:t>
      </w:r>
      <w:r w:rsidR="00DD3E9E">
        <w:rPr>
          <w:sz w:val="24"/>
          <w:szCs w:val="24"/>
        </w:rPr>
        <w:t>s efeitos no organismo; Elucidar</w:t>
      </w:r>
      <w:r>
        <w:rPr>
          <w:sz w:val="24"/>
          <w:szCs w:val="24"/>
        </w:rPr>
        <w:t xml:space="preserve"> a diferença entre esta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 sua forma sintética</w:t>
      </w:r>
      <w:r w:rsidR="00DD3E9E">
        <w:rPr>
          <w:sz w:val="24"/>
          <w:szCs w:val="24"/>
        </w:rPr>
        <w:t xml:space="preserve"> e a</w:t>
      </w:r>
      <w:r>
        <w:rPr>
          <w:sz w:val="24"/>
          <w:szCs w:val="24"/>
        </w:rPr>
        <w:t>bordar o consumo através do uso social em regiões onde a planta é nativa</w:t>
      </w:r>
      <w:r w:rsidR="00DD3E9E">
        <w:rPr>
          <w:sz w:val="24"/>
          <w:szCs w:val="24"/>
        </w:rPr>
        <w:t xml:space="preserve"> e suas consequências. </w:t>
      </w:r>
      <w:r>
        <w:rPr>
          <w:sz w:val="24"/>
          <w:szCs w:val="24"/>
        </w:rPr>
        <w:t>O método utilizado foi o Arco de Maguerez, juntamente com a Revisão Narrativa Literária, direcionando a pesquisa a artigos e livros didáticos.</w:t>
      </w:r>
      <w:r w:rsidR="00DD3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planta </w:t>
      </w:r>
      <w:r>
        <w:rPr>
          <w:i/>
          <w:sz w:val="24"/>
          <w:szCs w:val="24"/>
        </w:rPr>
        <w:t>Catha edulis F</w:t>
      </w:r>
      <w:r>
        <w:rPr>
          <w:sz w:val="24"/>
          <w:szCs w:val="24"/>
        </w:rPr>
        <w:t>., é um a</w:t>
      </w:r>
      <w:r>
        <w:rPr>
          <w:color w:val="212121"/>
          <w:sz w:val="24"/>
          <w:szCs w:val="24"/>
          <w:highlight w:val="white"/>
        </w:rPr>
        <w:t xml:space="preserve">rbusto da família Celastraceae, originário da </w:t>
      </w:r>
      <w:r>
        <w:rPr>
          <w:sz w:val="24"/>
          <w:szCs w:val="24"/>
        </w:rPr>
        <w:t>Península Arábica, Iêmen e continente africano, cujo  principal alcalóide psicoativo é a catinona. Esta possui os mesmos mecanismos simpatomiméticos que a anfetamina, apresentando e</w:t>
      </w:r>
      <w:r w:rsidR="00DD3E9E">
        <w:rPr>
          <w:sz w:val="24"/>
          <w:szCs w:val="24"/>
        </w:rPr>
        <w:t xml:space="preserve">strutura molecular semelhante. </w:t>
      </w:r>
      <w:r>
        <w:rPr>
          <w:sz w:val="24"/>
          <w:szCs w:val="24"/>
        </w:rPr>
        <w:t xml:space="preserve">É utilizada como droga social, hábito que se espalhou mundialmente. Devido aos seus múltiplos componentes, os efeitos fisiológicos principais incluem constipação, efeitos cardiovasculares agudos, dependência, além de sintomas psiquiátricos, como ilusões e reações semelhantes à psicose causada por anfetaminas, variando de acordo com frequência de consumo e intensidade. </w:t>
      </w:r>
      <w:r>
        <w:rPr>
          <w:sz w:val="24"/>
          <w:szCs w:val="24"/>
          <w:highlight w:val="white"/>
        </w:rPr>
        <w:t>Apesar dos diversos efeitos decorrentes dessa planta no organismo humano, pouco se conhece sobre seus efeitos específico nas células, ainda que estudos mostrem a correlação entre o hábito de mascar a</w:t>
      </w:r>
      <w:r w:rsidR="00DD3E9E">
        <w:rPr>
          <w:sz w:val="24"/>
          <w:szCs w:val="24"/>
          <w:highlight w:val="white"/>
        </w:rPr>
        <w:t xml:space="preserve"> planta e a geração do câncer. </w:t>
      </w:r>
      <w:r>
        <w:rPr>
          <w:sz w:val="24"/>
          <w:szCs w:val="24"/>
        </w:rPr>
        <w:t>As catinonas sintéticas são análogas do princípio natural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apresentando efeitos semelhantes à drogas ilegais, como anfetaminas e cocaína. Elas excedem os níveis de </w:t>
      </w:r>
      <w:r>
        <w:rPr>
          <w:sz w:val="24"/>
          <w:szCs w:val="24"/>
          <w:highlight w:val="white"/>
        </w:rPr>
        <w:t xml:space="preserve">dopamina, norepinefrina e serotonina, apresentam efeitos </w:t>
      </w:r>
      <w:r>
        <w:rPr>
          <w:sz w:val="24"/>
          <w:szCs w:val="24"/>
        </w:rPr>
        <w:t>simpaticomiméticos</w:t>
      </w:r>
      <w:r>
        <w:rPr>
          <w:sz w:val="24"/>
          <w:szCs w:val="24"/>
          <w:highlight w:val="white"/>
        </w:rPr>
        <w:t xml:space="preserve"> e psicológicos. Usuários dependentes apresentam convulsões,</w:t>
      </w:r>
      <w:r>
        <w:rPr>
          <w:sz w:val="24"/>
          <w:szCs w:val="24"/>
        </w:rPr>
        <w:t xml:space="preserve"> hipertermia, coagulação intravascular disseminada, insuficiência renal e hepática, bruxismo e dor de cabeça. </w:t>
      </w:r>
      <w:r>
        <w:rPr>
          <w:color w:val="212121"/>
          <w:sz w:val="24"/>
          <w:szCs w:val="24"/>
          <w:highlight w:val="white"/>
        </w:rPr>
        <w:t>Originam também  as  “</w:t>
      </w:r>
      <w:r>
        <w:rPr>
          <w:i/>
          <w:color w:val="212121"/>
          <w:sz w:val="24"/>
          <w:szCs w:val="24"/>
          <w:highlight w:val="white"/>
        </w:rPr>
        <w:t>legal highs</w:t>
      </w:r>
      <w:r>
        <w:rPr>
          <w:color w:val="212121"/>
          <w:sz w:val="24"/>
          <w:szCs w:val="24"/>
          <w:highlight w:val="white"/>
        </w:rPr>
        <w:t>”, drogas alternativas de efeito mimético à drogas de abuso, esses componentes são legalizados. O nome utilizado nos comitês oficiais para a categoria de droga é NPS (</w:t>
      </w:r>
      <w:r>
        <w:rPr>
          <w:i/>
          <w:color w:val="212121"/>
          <w:sz w:val="24"/>
          <w:szCs w:val="24"/>
          <w:highlight w:val="white"/>
        </w:rPr>
        <w:t>novel psychoactive substances</w:t>
      </w:r>
      <w:r>
        <w:rPr>
          <w:color w:val="212121"/>
          <w:sz w:val="24"/>
          <w:szCs w:val="24"/>
          <w:highlight w:val="white"/>
        </w:rPr>
        <w:t>) e seu uso vêm aumentando significativamente.</w:t>
      </w:r>
      <w:r w:rsidR="00D65546">
        <w:rPr>
          <w:color w:val="212121"/>
          <w:sz w:val="24"/>
          <w:szCs w:val="24"/>
          <w:highlight w:val="white"/>
        </w:rPr>
        <w:t xml:space="preserve"> Como forma de</w:t>
      </w:r>
      <w:r w:rsidR="00DD3E9E">
        <w:rPr>
          <w:color w:val="212121"/>
          <w:sz w:val="24"/>
          <w:szCs w:val="24"/>
          <w:highlight w:val="white"/>
        </w:rPr>
        <w:t xml:space="preserve"> solucionar o problema </w:t>
      </w:r>
      <w:r w:rsidR="00DD3E9E">
        <w:rPr>
          <w:sz w:val="24"/>
          <w:szCs w:val="24"/>
        </w:rPr>
        <w:t>foram analisadas</w:t>
      </w:r>
      <w:r>
        <w:rPr>
          <w:sz w:val="24"/>
          <w:szCs w:val="24"/>
        </w:rPr>
        <w:t xml:space="preserve"> a implementação da SMART (</w:t>
      </w:r>
      <w:r>
        <w:rPr>
          <w:sz w:val="24"/>
          <w:szCs w:val="24"/>
          <w:highlight w:val="white"/>
        </w:rPr>
        <w:t>Programa Global de Monitoramento de Drogas Sintéticas: Análises, Relatórios e Tendências</w:t>
      </w:r>
      <w:r>
        <w:rPr>
          <w:sz w:val="24"/>
          <w:szCs w:val="24"/>
        </w:rPr>
        <w:t xml:space="preserve">) no Brasil, outros programas de acompanhamento na síntese dessas drogas, criação e aplicação de leis, entre outros. </w:t>
      </w:r>
      <w:r w:rsidR="00DD3E9E">
        <w:rPr>
          <w:sz w:val="24"/>
          <w:szCs w:val="24"/>
        </w:rPr>
        <w:t xml:space="preserve"> </w:t>
      </w:r>
      <w:r w:rsidR="001363FA">
        <w:rPr>
          <w:sz w:val="24"/>
          <w:szCs w:val="24"/>
        </w:rPr>
        <w:t>Conclui-se que o</w:t>
      </w:r>
      <w:r>
        <w:rPr>
          <w:sz w:val="24"/>
          <w:szCs w:val="24"/>
        </w:rPr>
        <w:t xml:space="preserve"> consumo da planta ocorre como prática social/religiosa em locais onde a população desconhece as consequências dessa prática, já havendo registros de câncer em usuários da mesma. A utilização da catinona sintética como droga ilegal, além de necessitar de fiscalização, demanda uma legislação </w:t>
      </w:r>
      <w:r>
        <w:rPr>
          <w:sz w:val="24"/>
          <w:szCs w:val="24"/>
        </w:rPr>
        <w:lastRenderedPageBreak/>
        <w:t>específica,  concomitantemente à pesquisas direcionadas. As informações sobre a utilização desta são muitas vezes negligenciadas e as consequências do consumo das drogas são desconsideradas.</w:t>
      </w:r>
    </w:p>
    <w:p w:rsidR="006200E6" w:rsidRDefault="006200E6" w:rsidP="001363FA">
      <w:pPr>
        <w:spacing w:line="240" w:lineRule="auto"/>
        <w:rPr>
          <w:b/>
          <w:sz w:val="24"/>
          <w:szCs w:val="24"/>
        </w:rPr>
      </w:pPr>
    </w:p>
    <w:p w:rsidR="00D65546" w:rsidRDefault="00D65546" w:rsidP="00D65546">
      <w:pPr>
        <w:spacing w:line="240" w:lineRule="auto"/>
        <w:rPr>
          <w:b/>
          <w:sz w:val="24"/>
          <w:szCs w:val="24"/>
        </w:rPr>
      </w:pPr>
    </w:p>
    <w:p w:rsidR="00D65546" w:rsidRPr="00C53498" w:rsidRDefault="00D65546" w:rsidP="00D65546">
      <w:pPr>
        <w:spacing w:line="360" w:lineRule="auto"/>
        <w:rPr>
          <w:sz w:val="24"/>
          <w:szCs w:val="24"/>
          <w:lang w:val="en-US"/>
        </w:rPr>
      </w:pPr>
      <w:r w:rsidRPr="00C53498">
        <w:rPr>
          <w:b/>
          <w:sz w:val="24"/>
          <w:szCs w:val="24"/>
          <w:lang w:val="en-US"/>
        </w:rPr>
        <w:t>REFERÊNCIAS</w:t>
      </w:r>
      <w:r w:rsidRPr="00C53498">
        <w:rPr>
          <w:sz w:val="24"/>
          <w:szCs w:val="24"/>
          <w:lang w:val="en-US"/>
        </w:rPr>
        <w:t xml:space="preserve"> </w:t>
      </w:r>
    </w:p>
    <w:p w:rsidR="00D65546" w:rsidRPr="00C53498" w:rsidRDefault="00D65546" w:rsidP="00D65546">
      <w:pPr>
        <w:spacing w:line="240" w:lineRule="auto"/>
        <w:rPr>
          <w:sz w:val="24"/>
          <w:szCs w:val="24"/>
          <w:lang w:val="en-US"/>
        </w:rPr>
      </w:pP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vertAlign w:val="subscript"/>
          <w:lang w:val="en-US"/>
        </w:rPr>
      </w:pPr>
      <w:r w:rsidRPr="00C53498">
        <w:rPr>
          <w:sz w:val="24"/>
          <w:szCs w:val="24"/>
          <w:lang w:val="en-US"/>
        </w:rPr>
        <w:t xml:space="preserve">AL-HABORI, M. The potential adverse effects of habitual use of </w:t>
      </w:r>
      <w:r w:rsidRPr="00C53498">
        <w:rPr>
          <w:i/>
          <w:sz w:val="24"/>
          <w:szCs w:val="24"/>
          <w:lang w:val="en-US"/>
        </w:rPr>
        <w:t>Catha edulis</w:t>
      </w:r>
      <w:r w:rsidRPr="00C53498">
        <w:rPr>
          <w:sz w:val="24"/>
          <w:szCs w:val="24"/>
          <w:lang w:val="en-US"/>
        </w:rPr>
        <w:t xml:space="preserve"> (</w:t>
      </w:r>
      <w:proofErr w:type="spellStart"/>
      <w:r w:rsidRPr="00C53498">
        <w:rPr>
          <w:sz w:val="24"/>
          <w:szCs w:val="24"/>
          <w:lang w:val="en-US"/>
        </w:rPr>
        <w:t>khat</w:t>
      </w:r>
      <w:proofErr w:type="spellEnd"/>
      <w:r w:rsidRPr="00C53498">
        <w:rPr>
          <w:sz w:val="24"/>
          <w:szCs w:val="24"/>
          <w:lang w:val="en-US"/>
        </w:rPr>
        <w:t xml:space="preserve">). </w:t>
      </w:r>
      <w:r w:rsidRPr="00C53498">
        <w:rPr>
          <w:b/>
          <w:sz w:val="24"/>
          <w:szCs w:val="24"/>
          <w:lang w:val="en-US"/>
        </w:rPr>
        <w:t>Expert Opinion on Drug Safety</w:t>
      </w:r>
      <w:r w:rsidRPr="00C53498">
        <w:rPr>
          <w:sz w:val="24"/>
          <w:szCs w:val="24"/>
          <w:lang w:val="en-US"/>
        </w:rPr>
        <w:t xml:space="preserve">. </w:t>
      </w:r>
      <w:r w:rsidR="00CD56B6" w:rsidRPr="00C53498">
        <w:rPr>
          <w:sz w:val="24"/>
          <w:szCs w:val="24"/>
          <w:lang w:val="en-US"/>
        </w:rPr>
        <w:t xml:space="preserve">v. </w:t>
      </w:r>
      <w:r w:rsidRPr="00C53498">
        <w:rPr>
          <w:sz w:val="24"/>
          <w:szCs w:val="24"/>
          <w:lang w:val="en-US"/>
        </w:rPr>
        <w:t xml:space="preserve">4, </w:t>
      </w:r>
      <w:r w:rsidR="00CD56B6" w:rsidRPr="00C53498">
        <w:rPr>
          <w:sz w:val="24"/>
          <w:szCs w:val="24"/>
          <w:lang w:val="en-US"/>
        </w:rPr>
        <w:t xml:space="preserve">n. 6, p. 1145-1154, </w:t>
      </w:r>
      <w:r w:rsidRPr="00C53498">
        <w:rPr>
          <w:sz w:val="24"/>
          <w:szCs w:val="24"/>
          <w:lang w:val="en-US"/>
        </w:rPr>
        <w:t>2005</w:t>
      </w:r>
      <w:r w:rsidR="00CD56B6" w:rsidRPr="00C53498">
        <w:rPr>
          <w:sz w:val="24"/>
          <w:szCs w:val="24"/>
          <w:lang w:val="en-US"/>
        </w:rPr>
        <w:t>.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 xml:space="preserve"> 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 xml:space="preserve">AL-HEBSHI, N.N., </w:t>
      </w:r>
      <w:r w:rsidR="00CD56B6" w:rsidRPr="00C53498">
        <w:rPr>
          <w:sz w:val="24"/>
          <w:szCs w:val="24"/>
          <w:lang w:val="en-US"/>
        </w:rPr>
        <w:t>SKAUG</w:t>
      </w:r>
      <w:r w:rsidRPr="00C53498">
        <w:rPr>
          <w:sz w:val="24"/>
          <w:szCs w:val="24"/>
          <w:lang w:val="en-US"/>
        </w:rPr>
        <w:t xml:space="preserve">, N., </w:t>
      </w:r>
      <w:proofErr w:type="spellStart"/>
      <w:r w:rsidRPr="00C53498">
        <w:rPr>
          <w:sz w:val="24"/>
          <w:szCs w:val="24"/>
          <w:lang w:val="en-US"/>
        </w:rPr>
        <w:t>Khat</w:t>
      </w:r>
      <w:proofErr w:type="spellEnd"/>
      <w:r w:rsidRPr="00C53498">
        <w:rPr>
          <w:sz w:val="24"/>
          <w:szCs w:val="24"/>
          <w:lang w:val="en-US"/>
        </w:rPr>
        <w:t xml:space="preserve"> (</w:t>
      </w:r>
      <w:r w:rsidRPr="00C53498">
        <w:rPr>
          <w:i/>
          <w:sz w:val="24"/>
          <w:szCs w:val="24"/>
          <w:lang w:val="en-US"/>
        </w:rPr>
        <w:t>Catha edulis</w:t>
      </w:r>
      <w:r w:rsidRPr="00C53498">
        <w:rPr>
          <w:sz w:val="24"/>
          <w:szCs w:val="24"/>
          <w:lang w:val="en-US"/>
        </w:rPr>
        <w:t xml:space="preserve">) — an updated review. </w:t>
      </w:r>
      <w:r w:rsidRPr="00C53498">
        <w:rPr>
          <w:b/>
          <w:sz w:val="24"/>
          <w:szCs w:val="24"/>
          <w:lang w:val="en-US"/>
        </w:rPr>
        <w:t xml:space="preserve">Addict. Biol. </w:t>
      </w:r>
      <w:r w:rsidR="00CD56B6" w:rsidRPr="00C53498">
        <w:rPr>
          <w:sz w:val="24"/>
          <w:szCs w:val="24"/>
          <w:lang w:val="en-US"/>
        </w:rPr>
        <w:t>v.</w:t>
      </w:r>
      <w:r w:rsidRPr="00C53498">
        <w:rPr>
          <w:sz w:val="24"/>
          <w:szCs w:val="24"/>
          <w:lang w:val="en-US"/>
        </w:rPr>
        <w:t>10,</w:t>
      </w:r>
      <w:r w:rsidR="00CD56B6" w:rsidRPr="00C53498">
        <w:rPr>
          <w:sz w:val="24"/>
          <w:szCs w:val="24"/>
          <w:lang w:val="en-US"/>
        </w:rPr>
        <w:t xml:space="preserve"> n.4,</w:t>
      </w:r>
      <w:r w:rsidRPr="00C53498">
        <w:rPr>
          <w:sz w:val="24"/>
          <w:szCs w:val="24"/>
          <w:lang w:val="en-US"/>
        </w:rPr>
        <w:t xml:space="preserve"> </w:t>
      </w:r>
      <w:r w:rsidR="00CD56B6" w:rsidRPr="00C53498">
        <w:rPr>
          <w:sz w:val="24"/>
          <w:szCs w:val="24"/>
          <w:lang w:val="en-US"/>
        </w:rPr>
        <w:t>p.</w:t>
      </w:r>
      <w:r w:rsidRPr="00C53498">
        <w:rPr>
          <w:sz w:val="24"/>
          <w:szCs w:val="24"/>
          <w:lang w:val="en-US"/>
        </w:rPr>
        <w:t>299–307</w:t>
      </w:r>
      <w:r w:rsidR="00CD56B6" w:rsidRPr="00C53498">
        <w:rPr>
          <w:sz w:val="24"/>
          <w:szCs w:val="24"/>
          <w:lang w:val="en-US"/>
        </w:rPr>
        <w:t>, 2005.</w:t>
      </w:r>
    </w:p>
    <w:p w:rsidR="00D65546" w:rsidRPr="00C53498" w:rsidRDefault="00D65546" w:rsidP="00D65546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C53498">
        <w:rPr>
          <w:b/>
          <w:sz w:val="24"/>
          <w:szCs w:val="24"/>
          <w:lang w:val="en-US"/>
        </w:rPr>
        <w:t xml:space="preserve"> </w:t>
      </w:r>
    </w:p>
    <w:p w:rsidR="00D65546" w:rsidRDefault="00D65546" w:rsidP="00D65546">
      <w:pPr>
        <w:spacing w:line="240" w:lineRule="auto"/>
        <w:jc w:val="both"/>
        <w:rPr>
          <w:sz w:val="24"/>
          <w:szCs w:val="24"/>
        </w:rPr>
      </w:pPr>
      <w:r w:rsidRPr="00C53498">
        <w:rPr>
          <w:sz w:val="24"/>
          <w:szCs w:val="24"/>
          <w:lang w:val="en-US"/>
        </w:rPr>
        <w:t xml:space="preserve">AL-MOTARREB, A., </w:t>
      </w:r>
      <w:r w:rsidR="00CD56B6" w:rsidRPr="00C53498">
        <w:rPr>
          <w:sz w:val="24"/>
          <w:szCs w:val="24"/>
          <w:lang w:val="en-US"/>
        </w:rPr>
        <w:t xml:space="preserve">BAKER, K., BROADLEY, K.J. </w:t>
      </w:r>
      <w:proofErr w:type="spellStart"/>
      <w:r w:rsidRPr="00C53498">
        <w:rPr>
          <w:sz w:val="24"/>
          <w:szCs w:val="24"/>
          <w:lang w:val="en-US"/>
        </w:rPr>
        <w:t>Khat</w:t>
      </w:r>
      <w:proofErr w:type="spellEnd"/>
      <w:r w:rsidRPr="00C53498">
        <w:rPr>
          <w:sz w:val="24"/>
          <w:szCs w:val="24"/>
          <w:lang w:val="en-US"/>
        </w:rPr>
        <w:t>: pharmacological and medical aspects and its social use in Yemen.</w:t>
      </w:r>
      <w:r w:rsidRPr="00C53498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Phytother</w:t>
      </w:r>
      <w:proofErr w:type="spellEnd"/>
      <w:r>
        <w:rPr>
          <w:b/>
          <w:sz w:val="24"/>
          <w:szCs w:val="24"/>
        </w:rPr>
        <w:t>.</w:t>
      </w:r>
      <w:r w:rsidRPr="00CD56B6">
        <w:rPr>
          <w:b/>
          <w:sz w:val="24"/>
          <w:szCs w:val="24"/>
        </w:rPr>
        <w:t xml:space="preserve"> Res</w:t>
      </w:r>
      <w:r>
        <w:rPr>
          <w:sz w:val="24"/>
          <w:szCs w:val="24"/>
        </w:rPr>
        <w:t xml:space="preserve">. </w:t>
      </w:r>
      <w:r w:rsidR="00CD56B6">
        <w:rPr>
          <w:sz w:val="24"/>
          <w:szCs w:val="24"/>
        </w:rPr>
        <w:t>v.</w:t>
      </w:r>
      <w:r>
        <w:rPr>
          <w:sz w:val="24"/>
          <w:szCs w:val="24"/>
        </w:rPr>
        <w:t>16,</w:t>
      </w:r>
      <w:r w:rsidR="00CD56B6">
        <w:rPr>
          <w:sz w:val="24"/>
          <w:szCs w:val="24"/>
        </w:rPr>
        <w:t xml:space="preserve"> n.5, p.</w:t>
      </w:r>
      <w:r>
        <w:rPr>
          <w:sz w:val="24"/>
          <w:szCs w:val="24"/>
        </w:rPr>
        <w:t xml:space="preserve"> 403–413</w:t>
      </w:r>
      <w:r w:rsidR="00CD56B6">
        <w:rPr>
          <w:sz w:val="24"/>
          <w:szCs w:val="24"/>
        </w:rPr>
        <w:t>, 2002.</w:t>
      </w:r>
    </w:p>
    <w:p w:rsidR="00D65546" w:rsidRDefault="00D65546" w:rsidP="00D65546">
      <w:pPr>
        <w:spacing w:line="240" w:lineRule="auto"/>
        <w:jc w:val="both"/>
        <w:rPr>
          <w:sz w:val="24"/>
          <w:szCs w:val="24"/>
        </w:rPr>
      </w:pPr>
    </w:p>
    <w:p w:rsidR="00D65546" w:rsidRPr="00CD56B6" w:rsidRDefault="00CD56B6" w:rsidP="00D655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BORILLE, D.C., BRUSAMARELLO, T., PAES, M.R., MAZZA, V.</w:t>
      </w:r>
      <w:r w:rsidR="00D65546">
        <w:rPr>
          <w:sz w:val="24"/>
          <w:szCs w:val="24"/>
          <w:highlight w:val="white"/>
        </w:rPr>
        <w:t>A., LACER</w:t>
      </w:r>
      <w:r>
        <w:rPr>
          <w:sz w:val="24"/>
          <w:szCs w:val="24"/>
          <w:highlight w:val="white"/>
        </w:rPr>
        <w:t>DA, M. R., MAFTUM, M.A.</w:t>
      </w:r>
      <w:r w:rsidR="00D65546">
        <w:rPr>
          <w:sz w:val="24"/>
          <w:szCs w:val="24"/>
          <w:highlight w:val="white"/>
        </w:rPr>
        <w:t xml:space="preserve"> </w:t>
      </w:r>
      <w:r w:rsidR="00D65546" w:rsidRPr="00CD56B6">
        <w:rPr>
          <w:sz w:val="24"/>
          <w:szCs w:val="24"/>
          <w:highlight w:val="white"/>
        </w:rPr>
        <w:t>A aplicação do método do arco da problematização na coleta de dados em pesquisa de enfermagem: relato de experiência.</w:t>
      </w:r>
      <w:r w:rsidR="00D65546">
        <w:rPr>
          <w:b/>
          <w:sz w:val="24"/>
          <w:szCs w:val="24"/>
          <w:highlight w:val="white"/>
        </w:rPr>
        <w:t xml:space="preserve"> </w:t>
      </w:r>
      <w:r w:rsidRPr="00CD56B6">
        <w:rPr>
          <w:b/>
          <w:sz w:val="24"/>
          <w:szCs w:val="24"/>
        </w:rPr>
        <w:t xml:space="preserve">enferm.,  </w:t>
      </w:r>
      <w:r w:rsidR="00D7562C">
        <w:rPr>
          <w:sz w:val="24"/>
          <w:szCs w:val="24"/>
        </w:rPr>
        <w:t>v. 21, n.</w:t>
      </w:r>
      <w:r>
        <w:rPr>
          <w:sz w:val="24"/>
          <w:szCs w:val="24"/>
        </w:rPr>
        <w:t xml:space="preserve">1, p. 209-216,  </w:t>
      </w:r>
      <w:r w:rsidRPr="00CD56B6">
        <w:rPr>
          <w:sz w:val="24"/>
          <w:szCs w:val="24"/>
        </w:rPr>
        <w:t>2012</w:t>
      </w:r>
      <w:r>
        <w:rPr>
          <w:sz w:val="24"/>
          <w:szCs w:val="24"/>
        </w:rPr>
        <w:t>.</w:t>
      </w:r>
    </w:p>
    <w:p w:rsidR="00D65546" w:rsidRDefault="00D65546" w:rsidP="00D65546">
      <w:pPr>
        <w:spacing w:line="240" w:lineRule="auto"/>
        <w:jc w:val="both"/>
        <w:rPr>
          <w:sz w:val="24"/>
          <w:szCs w:val="24"/>
        </w:rPr>
      </w:pPr>
    </w:p>
    <w:p w:rsidR="00D7562C" w:rsidRPr="00C53498" w:rsidRDefault="00D65546" w:rsidP="00D7562C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highlight w:val="white"/>
          <w:lang w:val="en-US"/>
        </w:rPr>
        <w:t>CAPRIOLA, M. Synthetic Cathinone Abuse.</w:t>
      </w:r>
      <w:r w:rsidRPr="00C53498">
        <w:rPr>
          <w:color w:val="212121"/>
          <w:sz w:val="24"/>
          <w:szCs w:val="24"/>
          <w:lang w:val="en-US"/>
        </w:rPr>
        <w:t xml:space="preserve"> </w:t>
      </w:r>
      <w:r w:rsidRPr="00C53498">
        <w:rPr>
          <w:b/>
          <w:color w:val="212121"/>
          <w:sz w:val="24"/>
          <w:szCs w:val="24"/>
          <w:lang w:val="en-US"/>
        </w:rPr>
        <w:t>Clinical Pharmacology: Advances and Applications</w:t>
      </w:r>
      <w:r w:rsidRPr="00C53498">
        <w:rPr>
          <w:sz w:val="24"/>
          <w:szCs w:val="24"/>
          <w:highlight w:val="white"/>
          <w:lang w:val="en-US"/>
        </w:rPr>
        <w:t xml:space="preserve"> </w:t>
      </w:r>
      <w:r w:rsidR="00D7562C" w:rsidRPr="00C53498">
        <w:rPr>
          <w:sz w:val="24"/>
          <w:szCs w:val="24"/>
          <w:highlight w:val="white"/>
          <w:lang w:val="en-US"/>
        </w:rPr>
        <w:t xml:space="preserve">v.5, </w:t>
      </w:r>
      <w:r w:rsidR="00D7562C" w:rsidRPr="00C53498">
        <w:rPr>
          <w:sz w:val="24"/>
          <w:szCs w:val="24"/>
          <w:lang w:val="en-US"/>
        </w:rPr>
        <w:t xml:space="preserve">n.1, p. </w:t>
      </w:r>
      <w:r w:rsidR="00D7562C" w:rsidRPr="00C53498">
        <w:rPr>
          <w:sz w:val="24"/>
          <w:szCs w:val="24"/>
          <w:highlight w:val="white"/>
          <w:lang w:val="en-US"/>
        </w:rPr>
        <w:t xml:space="preserve">109-115, </w:t>
      </w:r>
      <w:r w:rsidR="00D7562C" w:rsidRPr="00C53498">
        <w:rPr>
          <w:sz w:val="24"/>
          <w:szCs w:val="24"/>
          <w:lang w:val="en-US"/>
        </w:rPr>
        <w:t>2013.</w:t>
      </w:r>
    </w:p>
    <w:p w:rsidR="00D7562C" w:rsidRPr="00C53498" w:rsidRDefault="00D7562C" w:rsidP="00D65546">
      <w:pPr>
        <w:spacing w:line="240" w:lineRule="auto"/>
        <w:jc w:val="both"/>
        <w:rPr>
          <w:sz w:val="24"/>
          <w:szCs w:val="24"/>
          <w:lang w:val="en-US"/>
        </w:rPr>
      </w:pPr>
    </w:p>
    <w:p w:rsidR="00D65546" w:rsidRPr="00C53498" w:rsidRDefault="00D7562C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>CONNOR, J.D., ROSTOM, A., MAKONNEN, E.</w:t>
      </w:r>
      <w:r w:rsidR="00D65546" w:rsidRPr="00C53498">
        <w:rPr>
          <w:sz w:val="24"/>
          <w:szCs w:val="24"/>
          <w:lang w:val="en-US"/>
        </w:rPr>
        <w:t xml:space="preserve"> Comparison of effects of </w:t>
      </w:r>
      <w:proofErr w:type="spellStart"/>
      <w:r w:rsidR="00D65546" w:rsidRPr="00C53498">
        <w:rPr>
          <w:sz w:val="24"/>
          <w:szCs w:val="24"/>
          <w:lang w:val="en-US"/>
        </w:rPr>
        <w:t>khat</w:t>
      </w:r>
      <w:proofErr w:type="spellEnd"/>
      <w:r w:rsidR="00D65546" w:rsidRPr="00C53498">
        <w:rPr>
          <w:sz w:val="24"/>
          <w:szCs w:val="24"/>
          <w:lang w:val="en-US"/>
        </w:rPr>
        <w:t xml:space="preserve"> extract and amphetamine on motor </w:t>
      </w:r>
      <w:proofErr w:type="spellStart"/>
      <w:r w:rsidR="00D65546" w:rsidRPr="00C53498">
        <w:rPr>
          <w:sz w:val="24"/>
          <w:szCs w:val="24"/>
          <w:lang w:val="en-US"/>
        </w:rPr>
        <w:t>behaviours</w:t>
      </w:r>
      <w:proofErr w:type="spellEnd"/>
      <w:r w:rsidR="00D65546" w:rsidRPr="00C53498">
        <w:rPr>
          <w:sz w:val="24"/>
          <w:szCs w:val="24"/>
          <w:lang w:val="en-US"/>
        </w:rPr>
        <w:t xml:space="preserve"> in mice. </w:t>
      </w:r>
      <w:r w:rsidR="00D65546" w:rsidRPr="00C53498">
        <w:rPr>
          <w:b/>
          <w:sz w:val="24"/>
          <w:szCs w:val="24"/>
          <w:lang w:val="en-US"/>
        </w:rPr>
        <w:t xml:space="preserve">J. </w:t>
      </w:r>
      <w:proofErr w:type="spellStart"/>
      <w:r w:rsidR="00D65546" w:rsidRPr="00C53498">
        <w:rPr>
          <w:b/>
          <w:sz w:val="24"/>
          <w:szCs w:val="24"/>
          <w:lang w:val="en-US"/>
        </w:rPr>
        <w:t>Ethnopharmacol</w:t>
      </w:r>
      <w:proofErr w:type="spellEnd"/>
      <w:r w:rsidR="00D65546" w:rsidRPr="00C53498">
        <w:rPr>
          <w:sz w:val="24"/>
          <w:szCs w:val="24"/>
          <w:lang w:val="en-US"/>
        </w:rPr>
        <w:t>.</w:t>
      </w:r>
      <w:r w:rsidRPr="00C53498">
        <w:rPr>
          <w:sz w:val="24"/>
          <w:szCs w:val="24"/>
          <w:lang w:val="en-US"/>
        </w:rPr>
        <w:t xml:space="preserve"> v.</w:t>
      </w:r>
      <w:r w:rsidR="00D65546" w:rsidRPr="00C53498">
        <w:rPr>
          <w:sz w:val="24"/>
          <w:szCs w:val="24"/>
          <w:lang w:val="en-US"/>
        </w:rPr>
        <w:t xml:space="preserve">81, </w:t>
      </w:r>
      <w:r w:rsidRPr="00C53498">
        <w:rPr>
          <w:sz w:val="24"/>
          <w:szCs w:val="24"/>
          <w:lang w:val="en-US"/>
        </w:rPr>
        <w:t>n.1, p. 65–71, 2002.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 xml:space="preserve"> 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>DHAIFALAH, I., ŠANTAVÝ, J.</w:t>
      </w:r>
      <w:r w:rsidR="00D7562C" w:rsidRPr="00C53498">
        <w:rPr>
          <w:sz w:val="24"/>
          <w:szCs w:val="24"/>
          <w:lang w:val="en-US"/>
        </w:rPr>
        <w:t xml:space="preserve"> </w:t>
      </w:r>
      <w:proofErr w:type="spellStart"/>
      <w:r w:rsidRPr="00C53498">
        <w:rPr>
          <w:sz w:val="24"/>
          <w:szCs w:val="24"/>
          <w:lang w:val="en-US"/>
        </w:rPr>
        <w:t>Khat</w:t>
      </w:r>
      <w:proofErr w:type="spellEnd"/>
      <w:r w:rsidRPr="00C53498">
        <w:rPr>
          <w:sz w:val="24"/>
          <w:szCs w:val="24"/>
          <w:lang w:val="en-US"/>
        </w:rPr>
        <w:t xml:space="preserve"> habit and its health effect</w:t>
      </w:r>
      <w:r w:rsidRPr="00C53498">
        <w:rPr>
          <w:b/>
          <w:sz w:val="24"/>
          <w:szCs w:val="24"/>
          <w:lang w:val="en-US"/>
        </w:rPr>
        <w:t>.</w:t>
      </w:r>
      <w:r w:rsidRPr="00C53498">
        <w:rPr>
          <w:sz w:val="24"/>
          <w:szCs w:val="24"/>
          <w:lang w:val="en-US"/>
        </w:rPr>
        <w:t xml:space="preserve"> A natural amphe</w:t>
      </w:r>
      <w:r w:rsidR="00D7562C" w:rsidRPr="00C53498">
        <w:rPr>
          <w:sz w:val="24"/>
          <w:szCs w:val="24"/>
          <w:lang w:val="en-US"/>
        </w:rPr>
        <w:t xml:space="preserve">tamine. </w:t>
      </w:r>
      <w:r w:rsidR="00D7562C" w:rsidRPr="00C53498">
        <w:rPr>
          <w:b/>
          <w:sz w:val="24"/>
          <w:szCs w:val="24"/>
          <w:lang w:val="en-US"/>
        </w:rPr>
        <w:t>Biomed. Pap</w:t>
      </w:r>
      <w:r w:rsidR="00D7562C" w:rsidRPr="00C53498">
        <w:rPr>
          <w:sz w:val="24"/>
          <w:szCs w:val="24"/>
          <w:lang w:val="en-US"/>
        </w:rPr>
        <w:t>. v.148, n.1, p.11–15, 2004.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highlight w:val="white"/>
          <w:lang w:val="en-US"/>
        </w:rPr>
      </w:pP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C53498">
        <w:rPr>
          <w:sz w:val="24"/>
          <w:szCs w:val="24"/>
          <w:lang w:val="en-US"/>
        </w:rPr>
        <w:t>McKEE</w:t>
      </w:r>
      <w:proofErr w:type="spellEnd"/>
      <w:r w:rsidRPr="00C53498">
        <w:rPr>
          <w:sz w:val="24"/>
          <w:szCs w:val="24"/>
          <w:lang w:val="en-US"/>
        </w:rPr>
        <w:t xml:space="preserve">, C.M., 1987. Medical and social aspects of </w:t>
      </w:r>
      <w:proofErr w:type="spellStart"/>
      <w:r w:rsidRPr="00C53498">
        <w:rPr>
          <w:sz w:val="24"/>
          <w:szCs w:val="24"/>
          <w:lang w:val="en-US"/>
        </w:rPr>
        <w:t>qat</w:t>
      </w:r>
      <w:proofErr w:type="spellEnd"/>
      <w:r w:rsidRPr="00C53498">
        <w:rPr>
          <w:sz w:val="24"/>
          <w:szCs w:val="24"/>
          <w:lang w:val="en-US"/>
        </w:rPr>
        <w:t xml:space="preserve"> in Yemen: a review. </w:t>
      </w:r>
      <w:r w:rsidRPr="00C53498">
        <w:rPr>
          <w:b/>
          <w:sz w:val="24"/>
          <w:szCs w:val="24"/>
          <w:lang w:val="en-US"/>
        </w:rPr>
        <w:t>J. R. Soc. Med</w:t>
      </w:r>
      <w:r w:rsidRPr="00C53498">
        <w:rPr>
          <w:sz w:val="24"/>
          <w:szCs w:val="24"/>
          <w:lang w:val="en-US"/>
        </w:rPr>
        <w:t xml:space="preserve">. </w:t>
      </w:r>
      <w:r w:rsidR="00D7562C" w:rsidRPr="00C53498">
        <w:rPr>
          <w:sz w:val="24"/>
          <w:szCs w:val="24"/>
          <w:lang w:val="en-US"/>
        </w:rPr>
        <w:t>v.</w:t>
      </w:r>
      <w:r w:rsidRPr="00C53498">
        <w:rPr>
          <w:sz w:val="24"/>
          <w:szCs w:val="24"/>
          <w:lang w:val="en-US"/>
        </w:rPr>
        <w:t xml:space="preserve">80, </w:t>
      </w:r>
      <w:r w:rsidR="00D7562C" w:rsidRPr="00C53498">
        <w:rPr>
          <w:sz w:val="24"/>
          <w:szCs w:val="24"/>
          <w:lang w:val="en-US"/>
        </w:rPr>
        <w:t>12, p.</w:t>
      </w:r>
      <w:r w:rsidRPr="00C53498">
        <w:rPr>
          <w:sz w:val="24"/>
          <w:szCs w:val="24"/>
          <w:lang w:val="en-US"/>
        </w:rPr>
        <w:t>762–765</w:t>
      </w:r>
      <w:r w:rsidR="00D7562C" w:rsidRPr="00C53498">
        <w:rPr>
          <w:sz w:val="24"/>
          <w:szCs w:val="24"/>
          <w:lang w:val="en-US"/>
        </w:rPr>
        <w:t>, 1987.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 xml:space="preserve"> </w:t>
      </w:r>
    </w:p>
    <w:p w:rsidR="00D65546" w:rsidRPr="00C53498" w:rsidRDefault="00D7562C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 xml:space="preserve">MELA, M., </w:t>
      </w:r>
      <w:proofErr w:type="spellStart"/>
      <w:r w:rsidRPr="00C53498">
        <w:rPr>
          <w:sz w:val="24"/>
          <w:szCs w:val="24"/>
          <w:lang w:val="en-US"/>
        </w:rPr>
        <w:t>McBRIDE</w:t>
      </w:r>
      <w:proofErr w:type="spellEnd"/>
      <w:r w:rsidRPr="00C53498">
        <w:rPr>
          <w:sz w:val="24"/>
          <w:szCs w:val="24"/>
          <w:lang w:val="en-US"/>
        </w:rPr>
        <w:t>, A.J.</w:t>
      </w:r>
      <w:r w:rsidR="00D65546" w:rsidRPr="00C53498">
        <w:rPr>
          <w:sz w:val="24"/>
          <w:szCs w:val="24"/>
          <w:lang w:val="en-US"/>
        </w:rPr>
        <w:t xml:space="preserve"> </w:t>
      </w:r>
      <w:proofErr w:type="spellStart"/>
      <w:r w:rsidR="00D65546" w:rsidRPr="00C53498">
        <w:rPr>
          <w:sz w:val="24"/>
          <w:szCs w:val="24"/>
          <w:lang w:val="en-US"/>
        </w:rPr>
        <w:t>Khat</w:t>
      </w:r>
      <w:proofErr w:type="spellEnd"/>
      <w:r w:rsidR="00D65546" w:rsidRPr="00C53498">
        <w:rPr>
          <w:sz w:val="24"/>
          <w:szCs w:val="24"/>
          <w:lang w:val="en-US"/>
        </w:rPr>
        <w:t xml:space="preserve"> and </w:t>
      </w:r>
      <w:proofErr w:type="spellStart"/>
      <w:r w:rsidR="00D65546" w:rsidRPr="00C53498">
        <w:rPr>
          <w:sz w:val="24"/>
          <w:szCs w:val="24"/>
          <w:lang w:val="en-US"/>
        </w:rPr>
        <w:t>khat</w:t>
      </w:r>
      <w:proofErr w:type="spellEnd"/>
      <w:r w:rsidR="00D65546" w:rsidRPr="00C53498">
        <w:rPr>
          <w:sz w:val="24"/>
          <w:szCs w:val="24"/>
          <w:lang w:val="en-US"/>
        </w:rPr>
        <w:t xml:space="preserve"> misuse: an overview</w:t>
      </w:r>
      <w:r w:rsidR="00D65546" w:rsidRPr="00C53498">
        <w:rPr>
          <w:b/>
          <w:sz w:val="24"/>
          <w:szCs w:val="24"/>
          <w:lang w:val="en-US"/>
        </w:rPr>
        <w:t>.</w:t>
      </w:r>
      <w:r w:rsidRPr="00C53498">
        <w:rPr>
          <w:sz w:val="24"/>
          <w:szCs w:val="24"/>
          <w:lang w:val="en-US"/>
        </w:rPr>
        <w:t xml:space="preserve"> </w:t>
      </w:r>
      <w:r w:rsidRPr="00C53498">
        <w:rPr>
          <w:b/>
          <w:sz w:val="24"/>
          <w:szCs w:val="24"/>
          <w:lang w:val="en-US"/>
        </w:rPr>
        <w:t xml:space="preserve">J. Subst. </w:t>
      </w:r>
      <w:proofErr w:type="spellStart"/>
      <w:r w:rsidRPr="00C53498">
        <w:rPr>
          <w:b/>
          <w:sz w:val="24"/>
          <w:szCs w:val="24"/>
          <w:lang w:val="en-US"/>
        </w:rPr>
        <w:t>Abus</w:t>
      </w:r>
      <w:proofErr w:type="spellEnd"/>
      <w:r w:rsidRPr="00C53498">
        <w:rPr>
          <w:sz w:val="24"/>
          <w:szCs w:val="24"/>
          <w:lang w:val="en-US"/>
        </w:rPr>
        <w:t>. v.5, n.3, p.218–226, 2009.</w:t>
      </w: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lang w:val="en-US"/>
        </w:rPr>
      </w:pPr>
      <w:r w:rsidRPr="00C53498">
        <w:rPr>
          <w:sz w:val="24"/>
          <w:szCs w:val="24"/>
          <w:lang w:val="en-US"/>
        </w:rPr>
        <w:t xml:space="preserve"> </w:t>
      </w:r>
    </w:p>
    <w:p w:rsidR="00D65546" w:rsidRDefault="00D65546" w:rsidP="00D65546">
      <w:pPr>
        <w:spacing w:line="240" w:lineRule="auto"/>
        <w:jc w:val="both"/>
        <w:rPr>
          <w:sz w:val="24"/>
          <w:szCs w:val="24"/>
          <w:highlight w:val="white"/>
        </w:rPr>
      </w:pPr>
      <w:r w:rsidRPr="00C53498">
        <w:rPr>
          <w:sz w:val="24"/>
          <w:szCs w:val="24"/>
          <w:highlight w:val="white"/>
          <w:lang w:val="en-US"/>
        </w:rPr>
        <w:t xml:space="preserve">PAOLI, G. </w:t>
      </w:r>
      <w:r w:rsidRPr="00C53498">
        <w:rPr>
          <w:i/>
          <w:sz w:val="24"/>
          <w:szCs w:val="24"/>
          <w:highlight w:val="white"/>
          <w:lang w:val="en-US"/>
        </w:rPr>
        <w:t>et al</w:t>
      </w:r>
      <w:r w:rsidRPr="00C53498">
        <w:rPr>
          <w:sz w:val="24"/>
          <w:szCs w:val="24"/>
          <w:highlight w:val="white"/>
          <w:lang w:val="en-US"/>
        </w:rPr>
        <w:t xml:space="preserve">. </w:t>
      </w:r>
      <w:proofErr w:type="spellStart"/>
      <w:r w:rsidRPr="00C53498">
        <w:rPr>
          <w:color w:val="222222"/>
          <w:sz w:val="24"/>
          <w:szCs w:val="24"/>
          <w:highlight w:val="white"/>
          <w:lang w:val="en-US"/>
        </w:rPr>
        <w:t>Naphyrone</w:t>
      </w:r>
      <w:proofErr w:type="spellEnd"/>
      <w:r w:rsidRPr="00C53498">
        <w:rPr>
          <w:color w:val="222222"/>
          <w:sz w:val="24"/>
          <w:szCs w:val="24"/>
          <w:highlight w:val="white"/>
          <w:lang w:val="en-US"/>
        </w:rPr>
        <w:t>: Analytical profile of the new “legal high” substitute for mephedrone</w:t>
      </w:r>
      <w:r w:rsidRPr="00C53498">
        <w:rPr>
          <w:b/>
          <w:color w:val="222222"/>
          <w:sz w:val="24"/>
          <w:szCs w:val="24"/>
          <w:highlight w:val="white"/>
          <w:lang w:val="en-US"/>
        </w:rPr>
        <w:t>.</w:t>
      </w:r>
      <w:r w:rsidRPr="00C53498">
        <w:rPr>
          <w:b/>
          <w:color w:val="333333"/>
          <w:sz w:val="24"/>
          <w:szCs w:val="24"/>
          <w:highlight w:val="white"/>
          <w:lang w:val="en-US"/>
        </w:rPr>
        <w:t xml:space="preserve"> </w:t>
      </w:r>
      <w:r w:rsidR="005B35FA" w:rsidRPr="005B35FA">
        <w:rPr>
          <w:b/>
          <w:color w:val="333333"/>
          <w:sz w:val="24"/>
          <w:szCs w:val="24"/>
        </w:rPr>
        <w:t xml:space="preserve">J </w:t>
      </w:r>
      <w:proofErr w:type="spellStart"/>
      <w:r w:rsidR="005B35FA" w:rsidRPr="005B35FA">
        <w:rPr>
          <w:b/>
          <w:color w:val="333333"/>
          <w:sz w:val="24"/>
          <w:szCs w:val="24"/>
        </w:rPr>
        <w:t>Forensic</w:t>
      </w:r>
      <w:proofErr w:type="spellEnd"/>
      <w:r w:rsidR="005B35FA" w:rsidRPr="005B35FA">
        <w:rPr>
          <w:b/>
          <w:color w:val="333333"/>
          <w:sz w:val="24"/>
          <w:szCs w:val="24"/>
        </w:rPr>
        <w:t xml:space="preserve"> </w:t>
      </w:r>
      <w:proofErr w:type="spellStart"/>
      <w:r w:rsidR="005B35FA" w:rsidRPr="005B35FA">
        <w:rPr>
          <w:b/>
          <w:color w:val="333333"/>
          <w:sz w:val="24"/>
          <w:szCs w:val="24"/>
        </w:rPr>
        <w:t>Leg</w:t>
      </w:r>
      <w:proofErr w:type="spellEnd"/>
      <w:r w:rsidR="005B35FA" w:rsidRPr="005B35FA">
        <w:rPr>
          <w:b/>
          <w:color w:val="333333"/>
          <w:sz w:val="24"/>
          <w:szCs w:val="24"/>
        </w:rPr>
        <w:t xml:space="preserve"> Med. </w:t>
      </w:r>
      <w:r w:rsidR="005B35FA" w:rsidRPr="005B35FA">
        <w:rPr>
          <w:color w:val="333333"/>
          <w:sz w:val="24"/>
          <w:szCs w:val="24"/>
        </w:rPr>
        <w:t>v.18, n.2, p.93, 2011.</w:t>
      </w:r>
      <w:r w:rsidR="005B35FA" w:rsidRPr="005B35FA">
        <w:rPr>
          <w:b/>
          <w:color w:val="333333"/>
          <w:sz w:val="24"/>
          <w:szCs w:val="24"/>
        </w:rPr>
        <w:t xml:space="preserve"> </w:t>
      </w:r>
    </w:p>
    <w:p w:rsidR="00D65546" w:rsidRDefault="00D65546" w:rsidP="00D65546">
      <w:pPr>
        <w:spacing w:line="240" w:lineRule="auto"/>
        <w:jc w:val="both"/>
        <w:rPr>
          <w:sz w:val="24"/>
          <w:szCs w:val="24"/>
          <w:highlight w:val="white"/>
        </w:rPr>
      </w:pPr>
    </w:p>
    <w:p w:rsidR="00D65546" w:rsidRPr="005B35FA" w:rsidRDefault="00D65546" w:rsidP="005B35FA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RODR</w:t>
      </w:r>
      <w:r w:rsidR="005B35FA">
        <w:rPr>
          <w:sz w:val="24"/>
          <w:szCs w:val="24"/>
          <w:highlight w:val="white"/>
        </w:rPr>
        <w:t xml:space="preserve">IGUEZ, L.R., TORTAJADA, R.E. </w:t>
      </w:r>
      <w:r w:rsidRPr="005B35FA">
        <w:rPr>
          <w:sz w:val="24"/>
          <w:szCs w:val="24"/>
          <w:highlight w:val="white"/>
        </w:rPr>
        <w:t>El Khat: usos, efectos secundarios y peligros de una planta psicoestimulante.</w:t>
      </w:r>
      <w:r>
        <w:rPr>
          <w:b/>
          <w:sz w:val="24"/>
          <w:szCs w:val="24"/>
          <w:highlight w:val="white"/>
        </w:rPr>
        <w:t xml:space="preserve"> </w:t>
      </w:r>
      <w:r w:rsidR="005B35FA" w:rsidRPr="005B35FA">
        <w:rPr>
          <w:b/>
          <w:sz w:val="24"/>
          <w:szCs w:val="24"/>
        </w:rPr>
        <w:t>Revista Española</w:t>
      </w:r>
      <w:r w:rsidR="005B35FA">
        <w:rPr>
          <w:b/>
          <w:sz w:val="24"/>
          <w:szCs w:val="24"/>
        </w:rPr>
        <w:t xml:space="preserve"> </w:t>
      </w:r>
      <w:r w:rsidR="005B35FA" w:rsidRPr="005B35FA">
        <w:rPr>
          <w:b/>
          <w:sz w:val="24"/>
          <w:szCs w:val="24"/>
        </w:rPr>
        <w:t>de</w:t>
      </w:r>
      <w:r w:rsidR="005B35FA">
        <w:rPr>
          <w:b/>
          <w:sz w:val="24"/>
          <w:szCs w:val="24"/>
        </w:rPr>
        <w:t xml:space="preserve"> </w:t>
      </w:r>
      <w:r w:rsidR="005B35FA" w:rsidRPr="005B35FA">
        <w:rPr>
          <w:b/>
          <w:sz w:val="24"/>
          <w:szCs w:val="24"/>
        </w:rPr>
        <w:t>Drogo</w:t>
      </w:r>
      <w:r w:rsidR="005B35FA">
        <w:rPr>
          <w:b/>
          <w:sz w:val="24"/>
          <w:szCs w:val="24"/>
        </w:rPr>
        <w:t xml:space="preserve"> </w:t>
      </w:r>
      <w:r w:rsidR="005B35FA" w:rsidRPr="005B35FA">
        <w:rPr>
          <w:b/>
          <w:sz w:val="24"/>
          <w:szCs w:val="24"/>
        </w:rPr>
        <w:t xml:space="preserve">dependencias </w:t>
      </w:r>
      <w:r w:rsidR="005B35FA">
        <w:rPr>
          <w:b/>
          <w:sz w:val="24"/>
          <w:szCs w:val="24"/>
        </w:rPr>
        <w:t xml:space="preserve">v. </w:t>
      </w:r>
      <w:r w:rsidR="005B35FA" w:rsidRPr="005B35FA">
        <w:rPr>
          <w:sz w:val="24"/>
          <w:szCs w:val="24"/>
        </w:rPr>
        <w:t>40</w:t>
      </w:r>
      <w:r w:rsidR="005B35FA">
        <w:rPr>
          <w:sz w:val="24"/>
          <w:szCs w:val="24"/>
        </w:rPr>
        <w:t>, n.</w:t>
      </w:r>
      <w:r w:rsidR="005B35FA" w:rsidRPr="005B35FA">
        <w:rPr>
          <w:sz w:val="24"/>
          <w:szCs w:val="24"/>
        </w:rPr>
        <w:t>2</w:t>
      </w:r>
      <w:r w:rsidR="005B35FA">
        <w:rPr>
          <w:sz w:val="24"/>
          <w:szCs w:val="24"/>
        </w:rPr>
        <w:t xml:space="preserve">, p. 40-55, </w:t>
      </w:r>
      <w:r w:rsidR="005B35FA" w:rsidRPr="005B35FA">
        <w:rPr>
          <w:sz w:val="24"/>
          <w:szCs w:val="24"/>
        </w:rPr>
        <w:t>2015</w:t>
      </w:r>
      <w:r w:rsidR="005B35FA">
        <w:rPr>
          <w:sz w:val="24"/>
          <w:szCs w:val="24"/>
        </w:rPr>
        <w:t>.</w:t>
      </w:r>
    </w:p>
    <w:p w:rsidR="00D65546" w:rsidRDefault="00D65546" w:rsidP="00D65546">
      <w:pPr>
        <w:spacing w:before="280"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ROTHER, E. </w:t>
      </w:r>
      <w:r w:rsidRPr="005B35FA">
        <w:rPr>
          <w:sz w:val="24"/>
          <w:szCs w:val="24"/>
          <w:highlight w:val="white"/>
        </w:rPr>
        <w:t>Revisão sistemática x revisão narrativa.</w:t>
      </w:r>
      <w:r>
        <w:rPr>
          <w:sz w:val="24"/>
          <w:szCs w:val="24"/>
          <w:highlight w:val="white"/>
        </w:rPr>
        <w:t xml:space="preserve"> [Editorial</w:t>
      </w:r>
      <w:r w:rsidRPr="005B35FA">
        <w:rPr>
          <w:sz w:val="24"/>
          <w:szCs w:val="24"/>
          <w:highlight w:val="white"/>
        </w:rPr>
        <w:t>].</w:t>
      </w:r>
      <w:r w:rsidRPr="005B35FA">
        <w:rPr>
          <w:b/>
          <w:sz w:val="24"/>
          <w:szCs w:val="24"/>
          <w:highlight w:val="white"/>
        </w:rPr>
        <w:t xml:space="preserve"> Acta paulista de enfermagem</w:t>
      </w:r>
      <w:r w:rsidR="005B35FA"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v.20 n.2</w:t>
      </w:r>
      <w:r w:rsidR="005B35F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2007. </w:t>
      </w:r>
    </w:p>
    <w:p w:rsidR="00D65546" w:rsidRDefault="00D65546" w:rsidP="00D65546">
      <w:pPr>
        <w:spacing w:before="280" w:after="80" w:line="240" w:lineRule="auto"/>
        <w:jc w:val="both"/>
        <w:rPr>
          <w:sz w:val="24"/>
          <w:szCs w:val="24"/>
        </w:rPr>
      </w:pPr>
    </w:p>
    <w:p w:rsidR="00D65546" w:rsidRDefault="00D65546" w:rsidP="00D65546">
      <w:pPr>
        <w:spacing w:after="48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UNODC. </w:t>
      </w:r>
      <w:r>
        <w:rPr>
          <w:b/>
          <w:sz w:val="24"/>
          <w:szCs w:val="24"/>
        </w:rPr>
        <w:t xml:space="preserve">Relatório global de monitoramento das drogas sintéticas. </w:t>
      </w:r>
      <w:r>
        <w:rPr>
          <w:sz w:val="24"/>
          <w:szCs w:val="24"/>
        </w:rPr>
        <w:t xml:space="preserve">Disponível em: </w:t>
      </w:r>
      <w:r>
        <w:rPr>
          <w:sz w:val="24"/>
          <w:szCs w:val="24"/>
          <w:highlight w:val="white"/>
        </w:rPr>
        <w:t>&lt;https://www.unodc.org/documents/lpo-brazil//Topics_drugs/Publicacoes/Global_SMART_Update_12_web.pdf&gt; Acesso em 28.mai.2017 às 20:34</w:t>
      </w:r>
    </w:p>
    <w:p w:rsidR="00CE62D2" w:rsidRPr="00C53498" w:rsidRDefault="00D65546" w:rsidP="00CE62D2">
      <w:pPr>
        <w:spacing w:line="240" w:lineRule="auto"/>
        <w:rPr>
          <w:b/>
          <w:sz w:val="24"/>
          <w:szCs w:val="24"/>
          <w:highlight w:val="white"/>
          <w:lang w:val="en-US"/>
        </w:rPr>
      </w:pPr>
      <w:r w:rsidRPr="00C53498">
        <w:rPr>
          <w:sz w:val="24"/>
          <w:szCs w:val="24"/>
          <w:highlight w:val="white"/>
          <w:lang w:val="en-US"/>
        </w:rPr>
        <w:t>VALSALAN, R. et al. Multi-organ dysfunction due to bath salts: are we aware of this entity</w:t>
      </w:r>
      <w:proofErr w:type="gramStart"/>
      <w:r w:rsidRPr="00C53498">
        <w:rPr>
          <w:sz w:val="24"/>
          <w:szCs w:val="24"/>
          <w:highlight w:val="white"/>
          <w:lang w:val="en-US"/>
        </w:rPr>
        <w:t>?.</w:t>
      </w:r>
      <w:proofErr w:type="gramEnd"/>
      <w:r w:rsidR="00CE62D2" w:rsidRPr="00C53498">
        <w:rPr>
          <w:lang w:val="en-US"/>
        </w:rPr>
        <w:t xml:space="preserve"> </w:t>
      </w:r>
      <w:r w:rsidR="00CE62D2" w:rsidRPr="00C53498">
        <w:rPr>
          <w:b/>
          <w:sz w:val="24"/>
          <w:szCs w:val="24"/>
          <w:lang w:val="en-US"/>
        </w:rPr>
        <w:t>Internal Medicine Journal</w:t>
      </w:r>
      <w:r w:rsidR="00CE62D2" w:rsidRPr="00C53498">
        <w:rPr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CE62D2" w:rsidRPr="00C53498">
        <w:rPr>
          <w:color w:val="333333"/>
          <w:sz w:val="24"/>
          <w:szCs w:val="24"/>
          <w:shd w:val="clear" w:color="auto" w:fill="FFFFFF"/>
          <w:lang w:val="en-US"/>
        </w:rPr>
        <w:t>v. 47, n.1, p.109–111, 2017.</w:t>
      </w:r>
    </w:p>
    <w:p w:rsidR="00CE62D2" w:rsidRPr="00C53498" w:rsidRDefault="00CE62D2" w:rsidP="00D65546">
      <w:pPr>
        <w:spacing w:line="240" w:lineRule="auto"/>
        <w:jc w:val="both"/>
        <w:rPr>
          <w:b/>
          <w:sz w:val="24"/>
          <w:szCs w:val="24"/>
          <w:highlight w:val="white"/>
          <w:lang w:val="en-US"/>
        </w:rPr>
      </w:pPr>
    </w:p>
    <w:p w:rsidR="00D65546" w:rsidRPr="00C53498" w:rsidRDefault="00D65546" w:rsidP="00D65546">
      <w:pPr>
        <w:spacing w:line="240" w:lineRule="auto"/>
        <w:jc w:val="both"/>
        <w:rPr>
          <w:sz w:val="24"/>
          <w:szCs w:val="24"/>
          <w:highlight w:val="white"/>
          <w:lang w:val="en-US"/>
        </w:rPr>
      </w:pPr>
      <w:r w:rsidRPr="00C53498">
        <w:rPr>
          <w:sz w:val="24"/>
          <w:szCs w:val="24"/>
          <w:highlight w:val="white"/>
          <w:lang w:val="en-US"/>
        </w:rPr>
        <w:t xml:space="preserve">WABE, N. Chemistry, Pharmacology, and Toxicology of </w:t>
      </w:r>
      <w:proofErr w:type="spellStart"/>
      <w:r w:rsidRPr="00C53498">
        <w:rPr>
          <w:sz w:val="24"/>
          <w:szCs w:val="24"/>
          <w:highlight w:val="white"/>
          <w:lang w:val="en-US"/>
        </w:rPr>
        <w:t>Khat</w:t>
      </w:r>
      <w:proofErr w:type="spellEnd"/>
      <w:r w:rsidRPr="00C53498">
        <w:rPr>
          <w:sz w:val="24"/>
          <w:szCs w:val="24"/>
          <w:highlight w:val="white"/>
          <w:lang w:val="en-US"/>
        </w:rPr>
        <w:t xml:space="preserve"> (</w:t>
      </w:r>
      <w:r w:rsidRPr="00C53498">
        <w:rPr>
          <w:i/>
          <w:sz w:val="24"/>
          <w:szCs w:val="24"/>
          <w:highlight w:val="white"/>
          <w:lang w:val="en-US"/>
        </w:rPr>
        <w:t xml:space="preserve">Catha Edulis </w:t>
      </w:r>
      <w:proofErr w:type="spellStart"/>
      <w:r w:rsidRPr="00C53498">
        <w:rPr>
          <w:i/>
          <w:sz w:val="24"/>
          <w:szCs w:val="24"/>
          <w:highlight w:val="white"/>
          <w:lang w:val="en-US"/>
        </w:rPr>
        <w:t>Forssk</w:t>
      </w:r>
      <w:proofErr w:type="spellEnd"/>
      <w:r w:rsidRPr="00C53498">
        <w:rPr>
          <w:sz w:val="24"/>
          <w:szCs w:val="24"/>
          <w:highlight w:val="white"/>
          <w:lang w:val="en-US"/>
        </w:rPr>
        <w:t xml:space="preserve">): A Review. </w:t>
      </w:r>
      <w:r w:rsidR="00CE62D2" w:rsidRPr="00C53498">
        <w:rPr>
          <w:b/>
          <w:sz w:val="24"/>
          <w:szCs w:val="24"/>
          <w:lang w:val="en-US"/>
        </w:rPr>
        <w:t>Addict Health</w:t>
      </w:r>
      <w:r w:rsidR="00CE62D2" w:rsidRPr="00C53498">
        <w:rPr>
          <w:sz w:val="24"/>
          <w:szCs w:val="24"/>
          <w:lang w:val="en-US"/>
        </w:rPr>
        <w:t>. v.3, n.3-4, p.137-49, 2011.</w:t>
      </w:r>
    </w:p>
    <w:p w:rsidR="00CE62D2" w:rsidRPr="00C53498" w:rsidRDefault="00CE62D2" w:rsidP="00D65546">
      <w:pPr>
        <w:spacing w:line="240" w:lineRule="auto"/>
        <w:jc w:val="both"/>
        <w:rPr>
          <w:sz w:val="24"/>
          <w:szCs w:val="24"/>
          <w:highlight w:val="white"/>
          <w:lang w:val="en-US"/>
        </w:rPr>
      </w:pPr>
    </w:p>
    <w:p w:rsidR="00CE62D2" w:rsidRPr="00C53498" w:rsidRDefault="00CE62D2" w:rsidP="00D65546">
      <w:pPr>
        <w:spacing w:line="240" w:lineRule="auto"/>
        <w:jc w:val="both"/>
        <w:rPr>
          <w:sz w:val="24"/>
          <w:szCs w:val="24"/>
          <w:highlight w:val="white"/>
          <w:lang w:val="en-US"/>
        </w:rPr>
      </w:pPr>
    </w:p>
    <w:p w:rsidR="00D65546" w:rsidRPr="00CE62D2" w:rsidRDefault="00D65546" w:rsidP="00CE62D2">
      <w:pPr>
        <w:spacing w:line="240" w:lineRule="auto"/>
        <w:jc w:val="both"/>
        <w:rPr>
          <w:color w:val="2E2E2E"/>
          <w:sz w:val="24"/>
          <w:szCs w:val="24"/>
          <w:highlight w:val="white"/>
        </w:rPr>
      </w:pPr>
      <w:r w:rsidRPr="00C53498">
        <w:rPr>
          <w:sz w:val="24"/>
          <w:szCs w:val="24"/>
          <w:highlight w:val="white"/>
          <w:lang w:val="en-US"/>
        </w:rPr>
        <w:t xml:space="preserve">ZAWILSKA, J. </w:t>
      </w:r>
      <w:r w:rsidRPr="00C53498">
        <w:rPr>
          <w:color w:val="2E2E2E"/>
          <w:sz w:val="24"/>
          <w:szCs w:val="24"/>
          <w:highlight w:val="white"/>
          <w:lang w:val="en-US"/>
        </w:rPr>
        <w:t>Chapter Thirteen – “Legal Highs” – An Emerging Epidemic of Novel Psychoactive Substances.</w:t>
      </w:r>
      <w:r w:rsidRPr="00C53498">
        <w:rPr>
          <w:b/>
          <w:color w:val="2E2E2E"/>
          <w:sz w:val="24"/>
          <w:szCs w:val="24"/>
          <w:highlight w:val="white"/>
          <w:lang w:val="en-US"/>
        </w:rPr>
        <w:t xml:space="preserve"> </w:t>
      </w:r>
      <w:proofErr w:type="spellStart"/>
      <w:r w:rsidR="00CE62D2" w:rsidRPr="00CE62D2">
        <w:rPr>
          <w:b/>
          <w:color w:val="2E2E2E"/>
          <w:sz w:val="24"/>
          <w:szCs w:val="24"/>
        </w:rPr>
        <w:t>International</w:t>
      </w:r>
      <w:proofErr w:type="spellEnd"/>
      <w:r w:rsidR="00CE62D2" w:rsidRPr="00CE62D2">
        <w:rPr>
          <w:b/>
          <w:color w:val="2E2E2E"/>
          <w:sz w:val="24"/>
          <w:szCs w:val="24"/>
        </w:rPr>
        <w:t xml:space="preserve"> </w:t>
      </w:r>
      <w:proofErr w:type="spellStart"/>
      <w:r w:rsidR="00CE62D2" w:rsidRPr="00CE62D2">
        <w:rPr>
          <w:b/>
          <w:color w:val="2E2E2E"/>
          <w:sz w:val="24"/>
          <w:szCs w:val="24"/>
        </w:rPr>
        <w:t>Review</w:t>
      </w:r>
      <w:proofErr w:type="spellEnd"/>
      <w:r w:rsidR="00CE62D2" w:rsidRPr="00CE62D2">
        <w:rPr>
          <w:b/>
          <w:color w:val="2E2E2E"/>
          <w:sz w:val="24"/>
          <w:szCs w:val="24"/>
        </w:rPr>
        <w:t xml:space="preserve"> </w:t>
      </w:r>
      <w:proofErr w:type="spellStart"/>
      <w:r w:rsidR="00CE62D2" w:rsidRPr="00CE62D2">
        <w:rPr>
          <w:b/>
          <w:color w:val="2E2E2E"/>
          <w:sz w:val="24"/>
          <w:szCs w:val="24"/>
        </w:rPr>
        <w:t>of</w:t>
      </w:r>
      <w:proofErr w:type="spellEnd"/>
      <w:r w:rsidR="00CE62D2" w:rsidRPr="00CE62D2">
        <w:rPr>
          <w:b/>
          <w:color w:val="2E2E2E"/>
          <w:sz w:val="24"/>
          <w:szCs w:val="24"/>
        </w:rPr>
        <w:t xml:space="preserve"> </w:t>
      </w:r>
      <w:proofErr w:type="spellStart"/>
      <w:r w:rsidR="00CE62D2" w:rsidRPr="00CE62D2">
        <w:rPr>
          <w:b/>
          <w:color w:val="2E2E2E"/>
          <w:sz w:val="24"/>
          <w:szCs w:val="24"/>
        </w:rPr>
        <w:t>Neurobiology</w:t>
      </w:r>
      <w:proofErr w:type="spellEnd"/>
      <w:r w:rsidR="00CE62D2">
        <w:rPr>
          <w:b/>
          <w:color w:val="2E2E2E"/>
          <w:sz w:val="24"/>
          <w:szCs w:val="24"/>
        </w:rPr>
        <w:t xml:space="preserve">. </w:t>
      </w:r>
      <w:r w:rsidR="00CE62D2" w:rsidRPr="00CE62D2">
        <w:rPr>
          <w:color w:val="2E2E2E"/>
          <w:sz w:val="24"/>
          <w:szCs w:val="24"/>
        </w:rPr>
        <w:t xml:space="preserve">v.120, </w:t>
      </w:r>
      <w:r w:rsidR="00CE62D2">
        <w:rPr>
          <w:color w:val="2E2E2E"/>
          <w:sz w:val="24"/>
          <w:szCs w:val="24"/>
        </w:rPr>
        <w:t>p.</w:t>
      </w:r>
      <w:r w:rsidR="00CE62D2" w:rsidRPr="00CE62D2">
        <w:rPr>
          <w:color w:val="2E2E2E"/>
          <w:sz w:val="24"/>
          <w:szCs w:val="24"/>
        </w:rPr>
        <w:t>273-300</w:t>
      </w:r>
      <w:r w:rsidR="00CE62D2">
        <w:rPr>
          <w:color w:val="2E2E2E"/>
          <w:sz w:val="24"/>
          <w:szCs w:val="24"/>
        </w:rPr>
        <w:t xml:space="preserve">, </w:t>
      </w:r>
      <w:r w:rsidR="00CE62D2" w:rsidRPr="00CE62D2">
        <w:rPr>
          <w:color w:val="2E2E2E"/>
          <w:sz w:val="24"/>
          <w:szCs w:val="24"/>
        </w:rPr>
        <w:t>2015,</w:t>
      </w:r>
    </w:p>
    <w:p w:rsidR="006200E6" w:rsidRDefault="006200E6">
      <w:pPr>
        <w:spacing w:line="360" w:lineRule="auto"/>
        <w:jc w:val="both"/>
        <w:rPr>
          <w:sz w:val="24"/>
          <w:szCs w:val="24"/>
          <w:highlight w:val="white"/>
        </w:rPr>
      </w:pPr>
    </w:p>
    <w:p w:rsidR="006200E6" w:rsidRDefault="006200E6">
      <w:pPr>
        <w:spacing w:line="360" w:lineRule="auto"/>
        <w:rPr>
          <w:sz w:val="24"/>
          <w:szCs w:val="24"/>
          <w:highlight w:val="white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6200E6">
      <w:pPr>
        <w:spacing w:line="360" w:lineRule="auto"/>
        <w:rPr>
          <w:b/>
          <w:sz w:val="24"/>
          <w:szCs w:val="24"/>
        </w:rPr>
      </w:pPr>
    </w:p>
    <w:p w:rsidR="006200E6" w:rsidRDefault="00CE62D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ANEXO</w:t>
      </w:r>
      <w:r>
        <w:rPr>
          <w:sz w:val="24"/>
          <w:szCs w:val="24"/>
        </w:rPr>
        <w:t xml:space="preserve"> </w:t>
      </w:r>
    </w:p>
    <w:p w:rsidR="006200E6" w:rsidRDefault="00CE62D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2147888" cy="658313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6583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00E6" w:rsidRDefault="006200E6">
      <w:pPr>
        <w:spacing w:line="360" w:lineRule="auto"/>
        <w:rPr>
          <w:sz w:val="24"/>
          <w:szCs w:val="24"/>
        </w:rPr>
      </w:pPr>
    </w:p>
    <w:p w:rsidR="006200E6" w:rsidRDefault="00CE62D2">
      <w:pPr>
        <w:spacing w:line="360" w:lineRule="auto"/>
      </w:pPr>
      <w:r>
        <w:rPr>
          <w:sz w:val="24"/>
          <w:szCs w:val="24"/>
        </w:rPr>
        <w:t xml:space="preserve"> </w:t>
      </w:r>
    </w:p>
    <w:sectPr w:rsidR="006200E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1B6B"/>
    <w:multiLevelType w:val="multilevel"/>
    <w:tmpl w:val="0456C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1C445FF"/>
    <w:multiLevelType w:val="multilevel"/>
    <w:tmpl w:val="0C7E8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00E6"/>
    <w:rsid w:val="001363FA"/>
    <w:rsid w:val="005B35FA"/>
    <w:rsid w:val="006200E6"/>
    <w:rsid w:val="007112E1"/>
    <w:rsid w:val="00732280"/>
    <w:rsid w:val="008B03B0"/>
    <w:rsid w:val="009B2EC3"/>
    <w:rsid w:val="00C53498"/>
    <w:rsid w:val="00CD56B6"/>
    <w:rsid w:val="00CE62D2"/>
    <w:rsid w:val="00D65546"/>
    <w:rsid w:val="00D7562C"/>
    <w:rsid w:val="00D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2017-12-13T14:26:00Z</dcterms:created>
  <dcterms:modified xsi:type="dcterms:W3CDTF">2017-12-13T14:26:00Z</dcterms:modified>
</cp:coreProperties>
</file>